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1B3DD9">
      <w:pPr>
        <w:widowControl w:val="0"/>
        <w:wordWrap/>
        <w:adjustRightInd/>
        <w:snapToGrid/>
        <w:spacing w:after="0" w:line="240" w:lineRule="atLeast"/>
        <w:ind w:left="0" w:leftChars="0" w:right="0" w:firstLine="0" w:firstLineChars="0"/>
        <w:jc w:val="center"/>
        <w:textAlignment w:val="auto"/>
        <w:outlineLvl w:val="9"/>
        <w:rPr>
          <w:rFonts w:hint="eastAsia" w:ascii="宋体" w:hAnsi="宋体" w:eastAsia="宋体" w:cs="宋体"/>
          <w:b/>
          <w:bCs/>
          <w:color w:val="auto"/>
          <w:spacing w:val="37"/>
          <w:w w:val="57"/>
          <w:kern w:val="0"/>
          <w:sz w:val="72"/>
          <w:szCs w:val="72"/>
          <w:highlight w:val="none"/>
          <w:lang w:val="en-US" w:eastAsia="zh-CN"/>
        </w:rPr>
      </w:pPr>
      <w:r>
        <w:rPr>
          <w:rFonts w:hint="eastAsia" w:ascii="宋体" w:hAnsi="宋体" w:eastAsia="宋体" w:cs="宋体"/>
          <w:b/>
          <w:bCs/>
          <w:color w:val="auto"/>
          <w:spacing w:val="37"/>
          <w:w w:val="57"/>
          <w:kern w:val="0"/>
          <w:sz w:val="72"/>
          <w:szCs w:val="72"/>
          <w:highlight w:val="none"/>
          <w:lang w:eastAsia="zh-CN"/>
        </w:rPr>
        <w:t>辽宁</w:t>
      </w:r>
      <w:r>
        <w:rPr>
          <w:rFonts w:hint="eastAsia" w:ascii="宋体" w:hAnsi="宋体" w:eastAsia="宋体" w:cs="宋体"/>
          <w:b/>
          <w:bCs/>
          <w:color w:val="auto"/>
          <w:spacing w:val="37"/>
          <w:w w:val="57"/>
          <w:kern w:val="0"/>
          <w:sz w:val="72"/>
          <w:szCs w:val="72"/>
          <w:highlight w:val="none"/>
        </w:rPr>
        <w:t>杰威工程造价咨询有限责任公司</w:t>
      </w:r>
    </w:p>
    <w:p w14:paraId="6A3FB91F">
      <w:pPr>
        <w:widowControl w:val="0"/>
        <w:wordWrap/>
        <w:adjustRightInd/>
        <w:snapToGrid/>
        <w:spacing w:after="0" w:line="240" w:lineRule="atLeast"/>
        <w:ind w:left="0" w:leftChars="0" w:right="0" w:firstLine="0" w:firstLineChars="0"/>
        <w:jc w:val="center"/>
        <w:textAlignment w:val="auto"/>
        <w:outlineLvl w:val="9"/>
        <w:rPr>
          <w:rFonts w:hint="eastAsia" w:ascii="宋体" w:hAnsi="宋体" w:eastAsia="宋体" w:cs="宋体"/>
          <w:b/>
          <w:bCs/>
          <w:color w:val="auto"/>
          <w:kern w:val="0"/>
          <w:sz w:val="24"/>
          <w:szCs w:val="24"/>
          <w:highlight w:val="green"/>
          <w:lang w:val="zh-CN"/>
        </w:rPr>
      </w:pPr>
    </w:p>
    <w:p w14:paraId="53D7347E">
      <w:pPr>
        <w:widowControl w:val="0"/>
        <w:wordWrap/>
        <w:adjustRightInd/>
        <w:snapToGrid/>
        <w:spacing w:after="0" w:line="240" w:lineRule="atLeast"/>
        <w:ind w:left="0" w:leftChars="0" w:right="0" w:firstLine="0" w:firstLineChars="0"/>
        <w:jc w:val="center"/>
        <w:textAlignment w:val="auto"/>
        <w:outlineLvl w:val="9"/>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szCs w:val="24"/>
          <w:highlight w:val="none"/>
          <w:lang w:val="zh-CN"/>
        </w:rPr>
        <w:t>辽杰威咨询（</w:t>
      </w:r>
      <w:r>
        <w:rPr>
          <w:rFonts w:hint="eastAsia" w:ascii="宋体" w:hAnsi="宋体" w:cs="宋体"/>
          <w:b/>
          <w:bCs/>
          <w:color w:val="auto"/>
          <w:kern w:val="0"/>
          <w:sz w:val="24"/>
          <w:szCs w:val="24"/>
          <w:highlight w:val="none"/>
          <w:lang w:val="en-US" w:eastAsia="zh-CN"/>
        </w:rPr>
        <w:t>咨</w:t>
      </w:r>
      <w:r>
        <w:rPr>
          <w:rFonts w:hint="eastAsia" w:ascii="宋体" w:hAnsi="宋体" w:eastAsia="宋体" w:cs="宋体"/>
          <w:b/>
          <w:bCs/>
          <w:color w:val="auto"/>
          <w:kern w:val="0"/>
          <w:sz w:val="24"/>
          <w:szCs w:val="24"/>
          <w:highlight w:val="none"/>
          <w:lang w:val="zh-CN"/>
        </w:rPr>
        <w:t>）字[20</w:t>
      </w:r>
      <w:r>
        <w:rPr>
          <w:rFonts w:hint="eastAsia" w:ascii="宋体" w:hAnsi="宋体" w:cs="宋体"/>
          <w:b/>
          <w:bCs/>
          <w:color w:val="auto"/>
          <w:kern w:val="0"/>
          <w:sz w:val="24"/>
          <w:szCs w:val="24"/>
          <w:highlight w:val="none"/>
          <w:lang w:val="en-US" w:eastAsia="zh-CN"/>
        </w:rPr>
        <w:t>26</w:t>
      </w:r>
      <w:r>
        <w:rPr>
          <w:rFonts w:hint="eastAsia" w:ascii="宋体" w:hAnsi="宋体" w:eastAsia="宋体" w:cs="宋体"/>
          <w:b/>
          <w:bCs/>
          <w:color w:val="auto"/>
          <w:kern w:val="0"/>
          <w:sz w:val="24"/>
          <w:szCs w:val="24"/>
          <w:highlight w:val="none"/>
          <w:lang w:val="zh-CN"/>
        </w:rPr>
        <w:t>]</w:t>
      </w:r>
      <w:r>
        <w:rPr>
          <w:rFonts w:hint="eastAsia" w:ascii="宋体" w:hAnsi="宋体" w:cs="宋体"/>
          <w:b/>
          <w:bCs/>
          <w:color w:val="auto"/>
          <w:kern w:val="0"/>
          <w:sz w:val="24"/>
          <w:szCs w:val="24"/>
          <w:highlight w:val="none"/>
          <w:lang w:val="en-US" w:eastAsia="zh-CN"/>
        </w:rPr>
        <w:t>265-2</w:t>
      </w:r>
      <w:r>
        <w:rPr>
          <w:rFonts w:hint="eastAsia" w:ascii="宋体" w:hAnsi="宋体" w:eastAsia="宋体" w:cs="宋体"/>
          <w:b/>
          <w:bCs/>
          <w:color w:val="auto"/>
          <w:kern w:val="0"/>
          <w:sz w:val="24"/>
          <w:szCs w:val="24"/>
          <w:highlight w:val="none"/>
          <w:lang w:val="zh-CN"/>
        </w:rPr>
        <w:t>号</w:t>
      </w:r>
      <w:r>
        <w:rPr>
          <w:rFonts w:hint="eastAsia" w:ascii="宋体" w:hAnsi="宋体" w:cs="宋体"/>
          <w:b/>
          <w:bCs/>
          <w:color w:val="auto"/>
          <w:kern w:val="0"/>
          <w:sz w:val="24"/>
          <w:szCs w:val="24"/>
          <w:highlight w:val="none"/>
        </w:rPr>
        <w:tab/>
      </w:r>
      <w:r>
        <w:rPr>
          <w:rFonts w:hint="eastAsia" w:ascii="宋体" w:hAnsi="宋体" w:eastAsia="宋体" w:cs="宋体"/>
          <w:b/>
          <w:bCs/>
          <w:color w:val="auto"/>
          <w:kern w:val="0"/>
          <w:sz w:val="24"/>
          <w:highlight w:val="none"/>
        </w:rPr>
        <w:t xml:space="preserve">                    </w:t>
      </w:r>
    </w:p>
    <w:p w14:paraId="3E76F3B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left"/>
        <w:textAlignment w:val="auto"/>
        <w:outlineLvl w:val="9"/>
        <w:rPr>
          <w:rFonts w:hint="eastAsia" w:ascii="宋体" w:hAnsi="宋体" w:eastAsia="宋体" w:cs="宋体"/>
          <w:b/>
          <w:bCs/>
          <w:color w:val="auto"/>
          <w:kern w:val="0"/>
          <w:sz w:val="10"/>
          <w:szCs w:val="10"/>
          <w:highlight w:val="none"/>
          <w:u w:val="single"/>
        </w:rPr>
      </w:pPr>
      <w:r>
        <w:rPr>
          <w:rFonts w:hint="eastAsia" w:ascii="宋体" w:hAnsi="宋体" w:eastAsia="宋体" w:cs="宋体"/>
          <w:b/>
          <w:bCs/>
          <w:color w:val="auto"/>
          <w:kern w:val="0"/>
          <w:sz w:val="10"/>
          <w:szCs w:val="10"/>
          <w:highlight w:val="none"/>
          <w:u w:val="single"/>
        </w:rPr>
        <w:t xml:space="preserve">                                                                                                                                                                          </w:t>
      </w:r>
    </w:p>
    <w:p w14:paraId="7AC4EBCC">
      <w:pPr>
        <w:keepNext w:val="0"/>
        <w:keepLines w:val="0"/>
        <w:pageBreakBefore w:val="0"/>
        <w:widowControl w:val="0"/>
        <w:kinsoku/>
        <w:wordWrap/>
        <w:overflowPunct/>
        <w:topLinePunct w:val="0"/>
        <w:autoSpaceDE/>
        <w:autoSpaceDN/>
        <w:bidi w:val="0"/>
        <w:spacing w:beforeAutospacing="0" w:afterAutospacing="0" w:line="360" w:lineRule="auto"/>
        <w:ind w:left="0" w:leftChars="0" w:right="0" w:rightChars="0"/>
        <w:jc w:val="center"/>
        <w:rPr>
          <w:rFonts w:hint="eastAsia" w:ascii="宋体" w:hAnsi="宋体" w:cs="宋体"/>
          <w:b/>
          <w:kern w:val="0"/>
          <w:sz w:val="36"/>
          <w:szCs w:val="36"/>
          <w:highlight w:val="none"/>
          <w:lang w:val="en-US" w:eastAsia="zh-CN"/>
        </w:rPr>
      </w:pPr>
      <w:r>
        <w:rPr>
          <w:rFonts w:hint="eastAsia" w:ascii="宋体" w:hAnsi="宋体" w:cs="宋体"/>
          <w:b/>
          <w:kern w:val="0"/>
          <w:sz w:val="36"/>
          <w:szCs w:val="36"/>
          <w:highlight w:val="none"/>
          <w:lang w:val="en-US" w:eastAsia="zh-CN"/>
        </w:rPr>
        <w:t>大连理工大学大学生服务楼维修改造项目二标段</w:t>
      </w:r>
    </w:p>
    <w:p w14:paraId="110A2B5F">
      <w:pPr>
        <w:keepNext w:val="0"/>
        <w:keepLines w:val="0"/>
        <w:pageBreakBefore w:val="0"/>
        <w:widowControl w:val="0"/>
        <w:kinsoku/>
        <w:wordWrap/>
        <w:overflowPunct/>
        <w:topLinePunct w:val="0"/>
        <w:autoSpaceDE/>
        <w:autoSpaceDN/>
        <w:bidi w:val="0"/>
        <w:spacing w:beforeAutospacing="0" w:afterAutospacing="0" w:line="360" w:lineRule="auto"/>
        <w:ind w:left="0" w:leftChars="0" w:right="0" w:rightChars="0"/>
        <w:jc w:val="center"/>
        <w:rPr>
          <w:rFonts w:hint="eastAsia" w:ascii="宋体" w:hAnsi="宋体" w:cs="宋体"/>
          <w:b/>
          <w:kern w:val="0"/>
          <w:sz w:val="36"/>
          <w:szCs w:val="36"/>
          <w:highlight w:val="none"/>
          <w:lang w:val="en-US" w:eastAsia="zh-CN"/>
        </w:rPr>
      </w:pPr>
      <w:r>
        <w:rPr>
          <w:rFonts w:hint="eastAsia" w:ascii="宋体" w:hAnsi="宋体" w:cs="宋体"/>
          <w:b/>
          <w:kern w:val="0"/>
          <w:sz w:val="36"/>
          <w:szCs w:val="36"/>
          <w:highlight w:val="none"/>
          <w:lang w:val="en-US" w:eastAsia="zh-CN"/>
        </w:rPr>
        <w:t>工程量清单编制说明</w:t>
      </w:r>
    </w:p>
    <w:p w14:paraId="6B20414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jc w:val="both"/>
        <w:textAlignment w:val="baseline"/>
        <w:outlineLvl w:val="9"/>
        <w:rPr>
          <w:rFonts w:hint="eastAsia" w:ascii="宋体" w:hAnsi="宋体" w:eastAsia="宋体" w:cs="宋体"/>
          <w:sz w:val="28"/>
          <w:szCs w:val="28"/>
          <w:highlight w:val="none"/>
          <w:lang w:val="en-US" w:eastAsia="zh-CN"/>
        </w:rPr>
      </w:pPr>
    </w:p>
    <w:p w14:paraId="65CA1949">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2" w:firstLineChars="200"/>
        <w:jc w:val="both"/>
        <w:textAlignment w:val="baseline"/>
        <w:outlineLvl w:val="9"/>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一、基本情况</w:t>
      </w:r>
    </w:p>
    <w:p w14:paraId="06C8A96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1、建设单位：大连理工大学</w:t>
      </w:r>
    </w:p>
    <w:p w14:paraId="31BED2B3">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2、项目规模：本项目位于大连理工大学凌水校区校内，总建筑面积</w:t>
      </w:r>
      <w:r>
        <w:rPr>
          <w:rFonts w:hint="eastAsia" w:ascii="宋体" w:hAnsi="宋体" w:cs="宋体"/>
          <w:sz w:val="28"/>
          <w:szCs w:val="28"/>
          <w:highlight w:val="none"/>
          <w:lang w:val="en-US" w:eastAsia="zh-CN"/>
        </w:rPr>
        <w:t>约</w:t>
      </w:r>
      <w:r>
        <w:rPr>
          <w:rFonts w:hint="eastAsia" w:ascii="宋体" w:hAnsi="宋体" w:eastAsia="宋体" w:cs="宋体"/>
          <w:sz w:val="28"/>
          <w:szCs w:val="28"/>
          <w:highlight w:val="none"/>
          <w:lang w:val="en-US" w:eastAsia="zh-CN"/>
        </w:rPr>
        <w:t>16056平方米，地上六层</w:t>
      </w:r>
      <w:r>
        <w:rPr>
          <w:rFonts w:hint="eastAsia" w:ascii="宋体" w:hAnsi="宋体" w:cs="宋体"/>
          <w:sz w:val="28"/>
          <w:szCs w:val="28"/>
          <w:highlight w:val="none"/>
          <w:lang w:val="en-US" w:eastAsia="zh-CN"/>
        </w:rPr>
        <w:t>；</w:t>
      </w:r>
    </w:p>
    <w:p w14:paraId="66F624AC">
      <w:pPr>
        <w:pStyle w:val="8"/>
        <w:keepNext w:val="0"/>
        <w:keepLines w:val="0"/>
        <w:widowControl/>
        <w:suppressLineNumbers w:val="0"/>
        <w:spacing w:before="0" w:beforeAutospacing="0" w:after="0" w:afterAutospacing="0"/>
        <w:ind w:left="0" w:right="0" w:firstLine="560" w:firstLineChars="200"/>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3、建设地点：大连理工大学</w:t>
      </w:r>
      <w:r>
        <w:rPr>
          <w:rFonts w:hint="eastAsia" w:ascii="宋体" w:hAnsi="宋体" w:cs="宋体"/>
          <w:sz w:val="28"/>
          <w:szCs w:val="28"/>
          <w:highlight w:val="none"/>
          <w:lang w:val="en-US" w:eastAsia="zh-CN"/>
        </w:rPr>
        <w:t>凌水主校区</w:t>
      </w:r>
    </w:p>
    <w:p w14:paraId="78D1AD4E">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2" w:firstLineChars="200"/>
        <w:jc w:val="both"/>
        <w:textAlignment w:val="baseline"/>
        <w:outlineLvl w:val="9"/>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二、编制范围</w:t>
      </w:r>
    </w:p>
    <w:p w14:paraId="7B426076">
      <w:pPr>
        <w:pStyle w:val="23"/>
        <w:numPr>
          <w:ilvl w:val="0"/>
          <w:numId w:val="0"/>
        </w:numPr>
        <w:ind w:leftChars="0" w:firstLine="560" w:firstLineChars="200"/>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根据现场工程需要、招标人要求及招标文件中所载明或隐含的、或按施工管理应当完成的工程、施工所需的其他各项辅助措施及其他相关工程，具体各专业如下：</w:t>
      </w:r>
    </w:p>
    <w:p w14:paraId="271AD629">
      <w:pPr>
        <w:pStyle w:val="23"/>
        <w:numPr>
          <w:ilvl w:val="0"/>
          <w:numId w:val="0"/>
        </w:numPr>
        <w:ind w:firstLine="560" w:firstLineChars="200"/>
        <w:rPr>
          <w:rFonts w:hint="default"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1、土建工程：包括但不限于外立面，室外门窗，屋面、屋面钢结构、台阶、坡道、散水、雨篷等的拆除及恢复；</w:t>
      </w:r>
    </w:p>
    <w:p w14:paraId="43F62E5E">
      <w:pPr>
        <w:pStyle w:val="23"/>
        <w:numPr>
          <w:ilvl w:val="0"/>
          <w:numId w:val="0"/>
        </w:numPr>
        <w:ind w:firstLine="560" w:firstLineChars="200"/>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2、外环境工程-市政工程：包括但不限于铺装地面翻新等；</w:t>
      </w:r>
    </w:p>
    <w:p w14:paraId="7D5868EF">
      <w:pPr>
        <w:pStyle w:val="23"/>
        <w:numPr>
          <w:ilvl w:val="0"/>
          <w:numId w:val="0"/>
        </w:numPr>
        <w:ind w:firstLine="560" w:firstLineChars="200"/>
        <w:rPr>
          <w:rFonts w:hint="default"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3、外环境工程-电气工程：包括但不限于管线预埋</w:t>
      </w:r>
      <w:bookmarkStart w:id="3" w:name="_GoBack"/>
      <w:bookmarkEnd w:id="3"/>
      <w:r>
        <w:rPr>
          <w:rFonts w:hint="eastAsia" w:ascii="宋体" w:hAnsi="宋体" w:eastAsia="宋体" w:cs="宋体"/>
          <w:kern w:val="2"/>
          <w:sz w:val="28"/>
          <w:szCs w:val="28"/>
          <w:highlight w:val="none"/>
          <w:lang w:val="en-US" w:eastAsia="zh-CN" w:bidi="ar-SA"/>
        </w:rPr>
        <w:t>及相应土方工程。</w:t>
      </w:r>
    </w:p>
    <w:p w14:paraId="42AA9121">
      <w:pPr>
        <w:pStyle w:val="23"/>
        <w:numPr>
          <w:ilvl w:val="0"/>
          <w:numId w:val="0"/>
        </w:numPr>
        <w:ind w:leftChars="0" w:firstLine="560" w:firstLineChars="200"/>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具体内容详见工程量清单。</w:t>
      </w:r>
    </w:p>
    <w:p w14:paraId="13FB5A0E">
      <w:pPr>
        <w:pStyle w:val="23"/>
        <w:numPr>
          <w:ilvl w:val="0"/>
          <w:numId w:val="0"/>
        </w:numPr>
        <w:ind w:leftChars="0" w:firstLine="562" w:firstLineChars="20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三、编制依据</w:t>
      </w:r>
    </w:p>
    <w:p w14:paraId="6201D98A">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ascii="宋体" w:hAnsi="宋体" w:cs="宋体"/>
          <w:sz w:val="28"/>
          <w:szCs w:val="28"/>
          <w:highlight w:val="none"/>
          <w:lang w:val="en-US" w:eastAsia="zh-CN"/>
        </w:rPr>
      </w:pPr>
      <w:r>
        <w:rPr>
          <w:rFonts w:hint="eastAsia" w:ascii="宋体" w:hAnsi="宋体" w:cs="宋体"/>
          <w:sz w:val="28"/>
          <w:szCs w:val="28"/>
          <w:highlight w:val="none"/>
          <w:lang w:val="en-US" w:eastAsia="zh-CN"/>
        </w:rPr>
        <w:t>1、大连理工大学土木建筑设计研究院有限公司设计的施工图；</w:t>
      </w:r>
    </w:p>
    <w:p w14:paraId="74B943C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ascii="宋体" w:hAnsi="宋体" w:cs="宋体"/>
          <w:sz w:val="28"/>
          <w:szCs w:val="28"/>
          <w:highlight w:val="none"/>
          <w:lang w:val="en-US" w:eastAsia="zh-CN"/>
        </w:rPr>
      </w:pPr>
      <w:r>
        <w:rPr>
          <w:rFonts w:hint="eastAsia" w:ascii="宋体" w:hAnsi="宋体" w:cs="宋体"/>
          <w:b w:val="0"/>
          <w:bCs w:val="0"/>
          <w:color w:val="auto"/>
          <w:sz w:val="28"/>
          <w:szCs w:val="28"/>
          <w:highlight w:val="none"/>
          <w:lang w:val="en-US" w:eastAsia="zh-CN"/>
        </w:rPr>
        <w:t>2、大连理工大学大学生服务楼维修改造项目二标段技术要求</w:t>
      </w:r>
      <w:r>
        <w:rPr>
          <w:rFonts w:hint="eastAsia" w:ascii="宋体" w:hAnsi="宋体" w:cs="宋体"/>
          <w:color w:val="auto"/>
          <w:sz w:val="28"/>
          <w:highlight w:val="none"/>
          <w:lang w:val="en-US" w:eastAsia="zh-CN"/>
        </w:rPr>
        <w:t>；</w:t>
      </w:r>
    </w:p>
    <w:p w14:paraId="21BE5C5D">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ascii="宋体" w:hAnsi="宋体" w:cs="宋体"/>
          <w:sz w:val="28"/>
          <w:szCs w:val="28"/>
          <w:highlight w:val="none"/>
          <w:lang w:val="en-US" w:eastAsia="zh-CN"/>
        </w:rPr>
      </w:pPr>
      <w:r>
        <w:rPr>
          <w:rFonts w:hint="eastAsia" w:ascii="宋体" w:hAnsi="宋体" w:cs="宋体"/>
          <w:sz w:val="28"/>
          <w:szCs w:val="28"/>
          <w:highlight w:val="none"/>
          <w:lang w:val="en-US" w:eastAsia="zh-CN"/>
        </w:rPr>
        <w:t>3、</w:t>
      </w:r>
      <w:r>
        <w:rPr>
          <w:rFonts w:hint="eastAsia" w:ascii="宋体" w:hAnsi="宋体" w:eastAsia="宋体" w:cs="宋体"/>
          <w:sz w:val="28"/>
          <w:szCs w:val="28"/>
          <w:highlight w:val="none"/>
          <w:lang w:val="en-US" w:eastAsia="zh-CN"/>
        </w:rPr>
        <w:t>政策性文件：20</w:t>
      </w:r>
      <w:r>
        <w:rPr>
          <w:rFonts w:hint="eastAsia" w:ascii="宋体" w:hAnsi="宋体" w:cs="宋体"/>
          <w:sz w:val="28"/>
          <w:szCs w:val="28"/>
          <w:highlight w:val="none"/>
          <w:lang w:val="en-US" w:eastAsia="zh-CN"/>
        </w:rPr>
        <w:t>24年《</w:t>
      </w:r>
      <w:r>
        <w:rPr>
          <w:rFonts w:hint="eastAsia" w:ascii="宋体" w:hAnsi="宋体" w:eastAsia="宋体" w:cs="宋体"/>
          <w:sz w:val="28"/>
          <w:szCs w:val="28"/>
          <w:highlight w:val="none"/>
          <w:lang w:val="en-US" w:eastAsia="zh-CN"/>
        </w:rPr>
        <w:t>辽宁省建设工程计价</w:t>
      </w:r>
      <w:r>
        <w:rPr>
          <w:rFonts w:hint="eastAsia" w:ascii="宋体" w:hAnsi="宋体" w:cs="宋体"/>
          <w:sz w:val="28"/>
          <w:szCs w:val="28"/>
          <w:highlight w:val="none"/>
          <w:lang w:val="en-US" w:eastAsia="zh-CN"/>
        </w:rPr>
        <w:t>依据》、《建设工程费用标准》及相关文件；</w:t>
      </w:r>
    </w:p>
    <w:p w14:paraId="20A39F8E">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ascii="宋体" w:hAnsi="宋体" w:eastAsia="宋体" w:cs="宋体"/>
          <w:sz w:val="28"/>
          <w:szCs w:val="28"/>
          <w:highlight w:val="none"/>
          <w:lang w:val="en-US" w:eastAsia="zh-CN"/>
        </w:rPr>
      </w:pPr>
      <w:r>
        <w:rPr>
          <w:rFonts w:hint="eastAsia" w:ascii="宋体" w:hAnsi="宋体" w:cs="宋体"/>
          <w:sz w:val="28"/>
          <w:szCs w:val="28"/>
          <w:highlight w:val="none"/>
          <w:lang w:val="en-US" w:eastAsia="zh-CN"/>
        </w:rPr>
        <w:t>4、</w:t>
      </w:r>
      <w:r>
        <w:rPr>
          <w:rFonts w:hint="eastAsia" w:ascii="宋体" w:hAnsi="宋体" w:eastAsia="宋体" w:cs="宋体"/>
          <w:sz w:val="28"/>
          <w:szCs w:val="28"/>
          <w:highlight w:val="none"/>
          <w:lang w:val="en-US" w:eastAsia="zh-CN"/>
        </w:rPr>
        <w:t>与本项目有关的</w:t>
      </w:r>
      <w:r>
        <w:rPr>
          <w:rFonts w:hint="eastAsia" w:ascii="宋体" w:hAnsi="宋体" w:cs="宋体"/>
          <w:sz w:val="28"/>
          <w:szCs w:val="28"/>
          <w:highlight w:val="none"/>
          <w:lang w:val="en-US" w:eastAsia="zh-CN"/>
        </w:rPr>
        <w:t>图集、</w:t>
      </w:r>
      <w:r>
        <w:rPr>
          <w:rFonts w:hint="eastAsia" w:ascii="宋体" w:hAnsi="宋体" w:eastAsia="宋体" w:cs="宋体"/>
          <w:sz w:val="28"/>
          <w:szCs w:val="28"/>
          <w:highlight w:val="none"/>
          <w:lang w:val="en-US" w:eastAsia="zh-CN"/>
        </w:rPr>
        <w:t>标准、规范、技术资料；施工现场情况、工程特点及与工程相关</w:t>
      </w:r>
      <w:r>
        <w:rPr>
          <w:rFonts w:hint="eastAsia" w:ascii="宋体" w:hAnsi="宋体" w:cs="宋体"/>
          <w:sz w:val="28"/>
          <w:szCs w:val="28"/>
          <w:highlight w:val="none"/>
          <w:lang w:val="en-US" w:eastAsia="zh-CN"/>
        </w:rPr>
        <w:t>其他</w:t>
      </w:r>
      <w:r>
        <w:rPr>
          <w:rFonts w:hint="eastAsia" w:ascii="宋体" w:hAnsi="宋体" w:eastAsia="宋体" w:cs="宋体"/>
          <w:sz w:val="28"/>
          <w:szCs w:val="28"/>
          <w:highlight w:val="none"/>
          <w:lang w:val="en-US" w:eastAsia="zh-CN"/>
        </w:rPr>
        <w:t>资料。</w:t>
      </w:r>
    </w:p>
    <w:p w14:paraId="7C23340D">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right="0" w:rightChars="0" w:firstLine="562" w:firstLineChars="200"/>
        <w:jc w:val="both"/>
        <w:textAlignment w:val="baseline"/>
        <w:outlineLvl w:val="9"/>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四、 编制说明</w:t>
      </w:r>
    </w:p>
    <w:p w14:paraId="3F6DD88C">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default" w:ascii="宋体" w:hAnsi="宋体" w:eastAsia="宋体" w:cs="宋体"/>
          <w:b w:val="0"/>
          <w:bCs w:val="0"/>
          <w:sz w:val="28"/>
          <w:szCs w:val="28"/>
          <w:highlight w:val="none"/>
          <w:lang w:val="en-US" w:eastAsia="zh-CN"/>
        </w:rPr>
      </w:pPr>
      <w:r>
        <w:rPr>
          <w:rFonts w:hint="eastAsia" w:ascii="宋体" w:hAnsi="宋体" w:cs="宋体"/>
          <w:b w:val="0"/>
          <w:bCs w:val="0"/>
          <w:sz w:val="28"/>
          <w:szCs w:val="28"/>
          <w:highlight w:val="none"/>
          <w:lang w:val="en-US" w:eastAsia="zh-CN"/>
        </w:rPr>
        <w:t>（一）土建工程</w:t>
      </w:r>
    </w:p>
    <w:p w14:paraId="4A7EA7A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default" w:ascii="宋体" w:hAnsi="宋体" w:eastAsia="宋体" w:cs="宋体"/>
          <w:b w:val="0"/>
          <w:bCs w:val="0"/>
          <w:kern w:val="2"/>
          <w:sz w:val="28"/>
          <w:szCs w:val="28"/>
          <w:highlight w:val="none"/>
          <w:lang w:val="en-US" w:eastAsia="zh-CN" w:bidi="ar-SA"/>
        </w:rPr>
      </w:pPr>
      <w:r>
        <w:rPr>
          <w:rFonts w:hint="eastAsia" w:ascii="宋体" w:hAnsi="宋体" w:eastAsia="宋体" w:cs="宋体"/>
          <w:sz w:val="28"/>
          <w:szCs w:val="28"/>
          <w:highlight w:val="none"/>
          <w:lang w:val="en-US" w:eastAsia="zh-CN"/>
        </w:rPr>
        <w:t>1、</w:t>
      </w:r>
      <w:r>
        <w:rPr>
          <w:rFonts w:hint="default" w:ascii="宋体" w:hAnsi="宋体" w:eastAsia="宋体" w:cs="宋体"/>
          <w:sz w:val="28"/>
          <w:szCs w:val="28"/>
          <w:highlight w:val="none"/>
          <w:lang w:val="en-US" w:eastAsia="zh-CN"/>
        </w:rPr>
        <w:t>拆除工程依据</w:t>
      </w:r>
      <w:r>
        <w:rPr>
          <w:rFonts w:hint="eastAsia" w:ascii="宋体" w:hAnsi="宋体" w:cs="宋体"/>
          <w:sz w:val="28"/>
          <w:szCs w:val="28"/>
          <w:highlight w:val="none"/>
          <w:lang w:val="en-US" w:eastAsia="zh-CN"/>
        </w:rPr>
        <w:t>施工范围内场地现状，并结合</w:t>
      </w:r>
      <w:r>
        <w:rPr>
          <w:rFonts w:hint="default" w:ascii="宋体" w:hAnsi="宋体" w:eastAsia="宋体" w:cs="宋体"/>
          <w:sz w:val="28"/>
          <w:szCs w:val="28"/>
          <w:highlight w:val="none"/>
          <w:lang w:val="en-US" w:eastAsia="zh-CN"/>
        </w:rPr>
        <w:t>设计图纸进行编制</w:t>
      </w:r>
      <w:r>
        <w:rPr>
          <w:rFonts w:hint="eastAsia" w:ascii="宋体" w:hAnsi="宋体" w:cs="宋体"/>
          <w:sz w:val="28"/>
          <w:szCs w:val="28"/>
          <w:highlight w:val="none"/>
          <w:lang w:val="en-US" w:eastAsia="zh-CN"/>
        </w:rPr>
        <w:t>，</w:t>
      </w:r>
      <w:r>
        <w:rPr>
          <w:rFonts w:hint="default" w:ascii="宋体" w:hAnsi="宋体" w:eastAsia="宋体" w:cs="宋体"/>
          <w:b w:val="0"/>
          <w:bCs w:val="0"/>
          <w:kern w:val="2"/>
          <w:sz w:val="28"/>
          <w:szCs w:val="28"/>
          <w:highlight w:val="none"/>
          <w:lang w:val="en-US" w:eastAsia="zh-CN" w:bidi="ar-SA"/>
        </w:rPr>
        <w:t>拆除方式及垃圾处理需满足相关规范要求；</w:t>
      </w:r>
    </w:p>
    <w:p w14:paraId="7EFABC5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ascii="宋体" w:hAnsi="宋体" w:cs="宋体"/>
          <w:b w:val="0"/>
          <w:bCs w:val="0"/>
          <w:kern w:val="2"/>
          <w:sz w:val="28"/>
          <w:szCs w:val="28"/>
          <w:highlight w:val="none"/>
          <w:lang w:val="en-US" w:eastAsia="zh-CN" w:bidi="ar-SA"/>
        </w:rPr>
      </w:pPr>
      <w:r>
        <w:rPr>
          <w:rFonts w:hint="eastAsia" w:ascii="宋体" w:hAnsi="宋体" w:cs="宋体"/>
          <w:sz w:val="28"/>
          <w:szCs w:val="28"/>
          <w:highlight w:val="none"/>
          <w:lang w:val="en-US" w:eastAsia="zh-CN"/>
        </w:rPr>
        <w:t>拆除及其所需措施费、迁移及其所需措施费、外运处理及其所需的措施和相关费用、</w:t>
      </w:r>
      <w:r>
        <w:rPr>
          <w:rFonts w:hint="default" w:ascii="宋体" w:hAnsi="宋体" w:eastAsia="宋体" w:cs="宋体"/>
          <w:sz w:val="28"/>
          <w:szCs w:val="28"/>
          <w:highlight w:val="none"/>
          <w:lang w:val="en-US" w:eastAsia="zh-CN"/>
        </w:rPr>
        <w:t>办理政府相关手续费用及其他相关费用</w:t>
      </w:r>
      <w:r>
        <w:rPr>
          <w:rFonts w:hint="eastAsia" w:ascii="宋体" w:hAnsi="宋体" w:cs="宋体"/>
          <w:sz w:val="28"/>
          <w:szCs w:val="28"/>
          <w:highlight w:val="none"/>
          <w:lang w:val="en-US" w:eastAsia="zh-CN"/>
        </w:rPr>
        <w:t>等</w:t>
      </w:r>
      <w:r>
        <w:rPr>
          <w:rFonts w:hint="default" w:ascii="宋体" w:hAnsi="宋体" w:eastAsia="宋体" w:cs="宋体"/>
          <w:sz w:val="28"/>
          <w:szCs w:val="28"/>
          <w:highlight w:val="none"/>
          <w:lang w:val="en-US" w:eastAsia="zh-CN"/>
        </w:rPr>
        <w:t>，在给定清单项中</w:t>
      </w:r>
      <w:r>
        <w:rPr>
          <w:rFonts w:hint="eastAsia" w:ascii="宋体" w:hAnsi="宋体" w:cs="宋体"/>
          <w:sz w:val="28"/>
          <w:szCs w:val="28"/>
          <w:highlight w:val="none"/>
          <w:lang w:val="en-US" w:eastAsia="zh-CN"/>
        </w:rPr>
        <w:t>综合考虑</w:t>
      </w:r>
      <w:r>
        <w:rPr>
          <w:rFonts w:hint="default" w:ascii="宋体" w:hAnsi="宋体" w:eastAsia="宋体" w:cs="宋体"/>
          <w:sz w:val="28"/>
          <w:szCs w:val="28"/>
          <w:highlight w:val="none"/>
          <w:lang w:val="en-US" w:eastAsia="zh-CN"/>
        </w:rPr>
        <w:t>报价；</w:t>
      </w:r>
    </w:p>
    <w:p w14:paraId="42AA217E">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ascii="宋体" w:hAnsi="宋体" w:eastAsia="宋体" w:cs="宋体"/>
          <w:sz w:val="28"/>
          <w:szCs w:val="28"/>
          <w:highlight w:val="none"/>
          <w:lang w:val="en-US" w:eastAsia="zh-CN"/>
        </w:rPr>
      </w:pPr>
      <w:r>
        <w:rPr>
          <w:rFonts w:hint="eastAsia" w:ascii="宋体" w:hAnsi="宋体" w:cs="宋体"/>
          <w:b w:val="0"/>
          <w:bCs w:val="0"/>
          <w:kern w:val="2"/>
          <w:sz w:val="28"/>
          <w:szCs w:val="28"/>
          <w:highlight w:val="none"/>
          <w:lang w:val="en-US" w:eastAsia="zh-CN" w:bidi="ar-SA"/>
        </w:rPr>
        <w:t>拆除时必须采取有效的安全措施，如造成现有建筑物及构筑物、管网破坏的情况，中标人需按原装恢复，相关费用由中标人承担。</w:t>
      </w:r>
    </w:p>
    <w:p w14:paraId="33010D6D">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ascii="宋体" w:hAnsi="宋体" w:cs="宋体"/>
          <w:sz w:val="28"/>
          <w:szCs w:val="28"/>
          <w:highlight w:val="none"/>
          <w:lang w:val="en-US" w:eastAsia="zh-CN"/>
        </w:rPr>
      </w:pPr>
      <w:r>
        <w:rPr>
          <w:rFonts w:hint="eastAsia" w:ascii="宋体" w:hAnsi="宋体" w:cs="宋体"/>
          <w:sz w:val="28"/>
          <w:szCs w:val="28"/>
          <w:highlight w:val="none"/>
          <w:lang w:val="en-US" w:eastAsia="zh-CN"/>
        </w:rPr>
        <w:t>2、钢筋机械连接方式投标单位综合考虑报价，综合单价不因施工采用的方式不同而调整；</w:t>
      </w:r>
    </w:p>
    <w:p w14:paraId="1D635637">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default" w:ascii="宋体" w:hAnsi="宋体" w:cs="宋体"/>
          <w:sz w:val="28"/>
          <w:szCs w:val="28"/>
          <w:highlight w:val="none"/>
          <w:lang w:val="en-US" w:eastAsia="zh-CN"/>
        </w:rPr>
      </w:pPr>
      <w:r>
        <w:rPr>
          <w:rFonts w:hint="eastAsia" w:ascii="宋体" w:hAnsi="宋体" w:cs="宋体"/>
          <w:sz w:val="28"/>
          <w:szCs w:val="28"/>
          <w:highlight w:val="none"/>
          <w:lang w:val="en-US" w:eastAsia="zh-CN"/>
        </w:rPr>
        <w:t>3、门窗工程，工程量清单特征描述仅是基本信息描述，投标单位需依据设计图纸内容及技术要求，充分考虑全面进行报价；</w:t>
      </w:r>
    </w:p>
    <w:p w14:paraId="427F0738">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宋体" w:hAnsi="宋体" w:cs="宋体"/>
          <w:sz w:val="28"/>
          <w:szCs w:val="28"/>
          <w:highlight w:val="none"/>
          <w:lang w:val="en-US" w:eastAsia="zh-CN"/>
        </w:rPr>
      </w:pPr>
      <w:r>
        <w:rPr>
          <w:rFonts w:hint="eastAsia" w:ascii="宋体" w:hAnsi="宋体" w:cs="宋体"/>
          <w:sz w:val="28"/>
          <w:szCs w:val="28"/>
          <w:highlight w:val="none"/>
          <w:lang w:val="en-US" w:eastAsia="zh-CN"/>
        </w:rPr>
        <w:t>4、</w:t>
      </w:r>
      <w:r>
        <w:rPr>
          <w:rFonts w:hint="eastAsia" w:ascii="宋体" w:hAnsi="宋体" w:eastAsia="宋体" w:cs="宋体"/>
          <w:sz w:val="28"/>
          <w:szCs w:val="28"/>
          <w:highlight w:val="none"/>
          <w:lang w:val="en-US" w:eastAsia="zh-CN"/>
        </w:rPr>
        <w:t>脚手架，</w:t>
      </w:r>
      <w:r>
        <w:rPr>
          <w:rFonts w:hint="eastAsia" w:ascii="宋体" w:hAnsi="宋体" w:cs="宋体"/>
          <w:sz w:val="28"/>
          <w:szCs w:val="28"/>
          <w:highlight w:val="none"/>
          <w:lang w:val="en-US" w:eastAsia="zh-CN"/>
        </w:rPr>
        <w:t>以</w:t>
      </w:r>
      <w:r>
        <w:rPr>
          <w:rFonts w:hint="eastAsia" w:cs="Times New Roman"/>
          <w:sz w:val="28"/>
          <w:szCs w:val="28"/>
          <w:highlight w:val="none"/>
          <w:lang w:val="en-US" w:eastAsia="zh-CN"/>
        </w:rPr>
        <w:t>“项”为单位列项，</w:t>
      </w:r>
      <w:r>
        <w:rPr>
          <w:rFonts w:hint="eastAsia" w:ascii="宋体" w:hAnsi="宋体" w:eastAsia="宋体" w:cs="宋体"/>
          <w:sz w:val="28"/>
          <w:szCs w:val="28"/>
          <w:highlight w:val="none"/>
          <w:lang w:val="en-US" w:eastAsia="zh-CN"/>
        </w:rPr>
        <w:t>投标单位需综合考虑本工程施工全部使用脚手架情况、脚手架加固等措施以及多次搭拆调整情况，在给定清单项中</w:t>
      </w:r>
      <w:r>
        <w:rPr>
          <w:rFonts w:hint="eastAsia" w:ascii="宋体" w:hAnsi="宋体" w:cs="宋体"/>
          <w:sz w:val="28"/>
          <w:szCs w:val="28"/>
          <w:highlight w:val="none"/>
          <w:lang w:val="en-US" w:eastAsia="zh-CN"/>
        </w:rPr>
        <w:t>综合考虑</w:t>
      </w:r>
      <w:r>
        <w:rPr>
          <w:rFonts w:hint="eastAsia" w:ascii="宋体" w:hAnsi="宋体" w:eastAsia="宋体" w:cs="宋体"/>
          <w:sz w:val="28"/>
          <w:szCs w:val="28"/>
          <w:highlight w:val="none"/>
          <w:lang w:val="en-US" w:eastAsia="zh-CN"/>
        </w:rPr>
        <w:t>报价</w:t>
      </w:r>
      <w:r>
        <w:rPr>
          <w:rFonts w:hint="eastAsia" w:ascii="宋体" w:hAnsi="宋体" w:cs="宋体"/>
          <w:sz w:val="28"/>
          <w:szCs w:val="28"/>
          <w:highlight w:val="none"/>
          <w:lang w:val="en-US" w:eastAsia="zh-CN"/>
        </w:rPr>
        <w:t>；</w:t>
      </w:r>
    </w:p>
    <w:p w14:paraId="03BAD88A">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cs="宋体"/>
          <w:sz w:val="28"/>
          <w:szCs w:val="28"/>
          <w:highlight w:val="none"/>
          <w:lang w:val="en-US" w:eastAsia="zh-CN"/>
        </w:rPr>
        <w:t>5</w:t>
      </w:r>
      <w:r>
        <w:rPr>
          <w:rFonts w:hint="eastAsia" w:ascii="宋体" w:hAnsi="宋体" w:eastAsia="宋体" w:cs="宋体"/>
          <w:sz w:val="28"/>
          <w:szCs w:val="28"/>
          <w:highlight w:val="none"/>
          <w:lang w:val="en-US" w:eastAsia="zh-CN"/>
        </w:rPr>
        <w:t>、垂直运输，</w:t>
      </w:r>
      <w:r>
        <w:rPr>
          <w:rFonts w:hint="eastAsia" w:cs="Times New Roman"/>
          <w:sz w:val="28"/>
          <w:szCs w:val="28"/>
          <w:highlight w:val="none"/>
          <w:lang w:val="en-US" w:eastAsia="zh-CN"/>
        </w:rPr>
        <w:t>以“项”为单位列项，</w:t>
      </w:r>
      <w:r>
        <w:rPr>
          <w:rFonts w:hint="eastAsia" w:ascii="宋体" w:hAnsi="宋体" w:eastAsia="宋体" w:cs="宋体"/>
          <w:sz w:val="28"/>
          <w:szCs w:val="28"/>
          <w:highlight w:val="none"/>
          <w:lang w:val="en-US" w:eastAsia="zh-CN"/>
        </w:rPr>
        <w:t>投标单位需综合考虑本工程施工全部使用垂直运输机械情况、加固等措施以及多次搭拆调整情况，在给定清单项中自主报价；</w:t>
      </w:r>
    </w:p>
    <w:p w14:paraId="2F14A606">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highlight w:val="none"/>
          <w:lang w:val="en-US" w:eastAsia="zh-CN"/>
        </w:rPr>
      </w:pPr>
      <w:r>
        <w:rPr>
          <w:rFonts w:hint="eastAsia" w:ascii="宋体" w:hAnsi="宋体" w:cs="宋体"/>
          <w:sz w:val="28"/>
          <w:szCs w:val="28"/>
          <w:highlight w:val="none"/>
          <w:lang w:val="en-US" w:eastAsia="zh-CN"/>
        </w:rPr>
        <w:t>6</w:t>
      </w:r>
      <w:r>
        <w:rPr>
          <w:rFonts w:hint="eastAsia" w:ascii="宋体" w:hAnsi="宋体" w:eastAsia="宋体" w:cs="宋体"/>
          <w:sz w:val="28"/>
          <w:szCs w:val="28"/>
          <w:highlight w:val="none"/>
          <w:lang w:val="en-US" w:eastAsia="zh-CN"/>
        </w:rPr>
        <w:t>、本项目临时设施费，以“项”为单位列项，包括但不限于临时管线敷设、临时道路、地面硬覆盖、道路开口、临时围挡、临时建筑、防治扬尘污染（详见招标文件要求）等与本项目有关的所有临时设施及措施费，并包含临设二次迁移、后期拆除清理及拆除后恢复费用，投标单位需参照</w:t>
      </w:r>
      <w:r>
        <w:rPr>
          <w:rFonts w:hint="eastAsia" w:ascii="宋体" w:hAnsi="宋体" w:cs="宋体"/>
          <w:sz w:val="28"/>
          <w:szCs w:val="28"/>
          <w:highlight w:val="none"/>
          <w:lang w:val="en-US" w:eastAsia="zh-CN"/>
        </w:rPr>
        <w:t>图纸</w:t>
      </w:r>
      <w:r>
        <w:rPr>
          <w:rFonts w:hint="eastAsia" w:ascii="宋体" w:hAnsi="宋体" w:eastAsia="宋体" w:cs="宋体"/>
          <w:sz w:val="28"/>
          <w:szCs w:val="28"/>
          <w:highlight w:val="none"/>
          <w:lang w:val="en-US" w:eastAsia="zh-CN"/>
        </w:rPr>
        <w:t>综合考虑报价，无论实际是建设还是租用，在给定清单项中自主报价</w:t>
      </w:r>
      <w:r>
        <w:rPr>
          <w:rFonts w:hint="eastAsia" w:ascii="宋体" w:hAnsi="宋体" w:cs="宋体"/>
          <w:sz w:val="28"/>
          <w:szCs w:val="28"/>
          <w:highlight w:val="none"/>
          <w:lang w:val="en-US" w:eastAsia="zh-CN"/>
        </w:rPr>
        <w:t>；</w:t>
      </w:r>
    </w:p>
    <w:p w14:paraId="70D68BC0">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ascii="宋体" w:hAnsi="宋体" w:cs="宋体"/>
          <w:sz w:val="28"/>
          <w:szCs w:val="28"/>
          <w:highlight w:val="none"/>
          <w:lang w:val="en-US" w:eastAsia="zh-CN"/>
        </w:rPr>
      </w:pPr>
      <w:r>
        <w:rPr>
          <w:rFonts w:hint="eastAsia" w:ascii="宋体" w:hAnsi="宋体" w:cs="宋体"/>
          <w:sz w:val="28"/>
          <w:szCs w:val="28"/>
          <w:highlight w:val="none"/>
          <w:lang w:val="en-US" w:eastAsia="zh-CN"/>
        </w:rPr>
        <w:t>（二）安装工程</w:t>
      </w:r>
    </w:p>
    <w:p w14:paraId="118A7FD1">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ascii="宋体" w:hAnsi="宋体" w:cs="宋体"/>
          <w:sz w:val="28"/>
          <w:szCs w:val="28"/>
          <w:highlight w:val="none"/>
          <w:lang w:val="en-US" w:eastAsia="zh-CN"/>
        </w:rPr>
      </w:pPr>
      <w:r>
        <w:rPr>
          <w:rFonts w:hint="default" w:ascii="宋体" w:hAnsi="宋体" w:eastAsia="宋体" w:cs="宋体"/>
          <w:sz w:val="28"/>
          <w:szCs w:val="28"/>
          <w:highlight w:val="none"/>
          <w:lang w:val="en-US" w:eastAsia="zh-CN"/>
        </w:rPr>
        <w:t>1</w:t>
      </w:r>
      <w:r>
        <w:rPr>
          <w:rFonts w:hint="eastAsia" w:ascii="宋体" w:hAnsi="宋体" w:cs="宋体"/>
          <w:sz w:val="28"/>
          <w:szCs w:val="28"/>
          <w:highlight w:val="none"/>
          <w:lang w:val="en-US" w:eastAsia="zh-CN"/>
        </w:rPr>
        <w:t>、电缆布放费用及单段高度＞</w:t>
      </w:r>
      <w:r>
        <w:rPr>
          <w:rFonts w:hint="default" w:ascii="宋体" w:hAnsi="宋体" w:cs="宋体"/>
          <w:sz w:val="28"/>
          <w:szCs w:val="28"/>
          <w:highlight w:val="none"/>
          <w:lang w:val="en-US" w:eastAsia="zh-CN"/>
        </w:rPr>
        <w:t xml:space="preserve">3.6 </w:t>
      </w:r>
      <w:r>
        <w:rPr>
          <w:rFonts w:hint="eastAsia" w:ascii="宋体" w:hAnsi="宋体" w:cs="宋体"/>
          <w:sz w:val="28"/>
          <w:szCs w:val="28"/>
          <w:highlight w:val="none"/>
          <w:lang w:val="en-US" w:eastAsia="zh-CN"/>
        </w:rPr>
        <w:t>米竖井通道内电缆敷设的相关费用，清单不单独列项，投标单位应在报价时充分考虑，结算时综合单价不予调整；</w:t>
      </w:r>
    </w:p>
    <w:p w14:paraId="14FAEB98">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ascii="宋体" w:hAnsi="宋体" w:cs="宋体"/>
          <w:sz w:val="28"/>
          <w:szCs w:val="28"/>
          <w:highlight w:val="none"/>
          <w:lang w:val="en-US" w:eastAsia="zh-CN"/>
        </w:rPr>
      </w:pPr>
      <w:r>
        <w:rPr>
          <w:rFonts w:hint="eastAsia" w:ascii="宋体" w:hAnsi="宋体" w:cs="宋体"/>
          <w:sz w:val="28"/>
          <w:szCs w:val="28"/>
          <w:highlight w:val="none"/>
          <w:lang w:val="en-US" w:eastAsia="zh-CN"/>
        </w:rPr>
        <w:t>2、电缆、电线、网线等清单未注明敷设方式的，投标单位报价时综合考虑，不区分敷设方式；</w:t>
      </w:r>
    </w:p>
    <w:p w14:paraId="79E446B3">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ascii="宋体" w:hAnsi="宋体" w:cs="宋体"/>
          <w:sz w:val="28"/>
          <w:szCs w:val="28"/>
          <w:highlight w:val="none"/>
          <w:lang w:val="en-US" w:eastAsia="zh-CN"/>
        </w:rPr>
      </w:pPr>
      <w:r>
        <w:rPr>
          <w:rFonts w:hint="eastAsia" w:ascii="宋体" w:hAnsi="宋体" w:cs="宋体"/>
          <w:sz w:val="28"/>
          <w:szCs w:val="28"/>
          <w:highlight w:val="none"/>
          <w:lang w:val="en-US" w:eastAsia="zh-CN"/>
        </w:rPr>
        <w:t>3、</w:t>
      </w:r>
      <w:r>
        <w:rPr>
          <w:rFonts w:hint="eastAsia" w:ascii="宋体" w:hAnsi="宋体" w:eastAsia="宋体" w:cs="宋体"/>
          <w:sz w:val="28"/>
          <w:szCs w:val="28"/>
          <w:highlight w:val="none"/>
          <w:lang w:val="en-US" w:eastAsia="zh-CN"/>
        </w:rPr>
        <w:t>安装专业工程的清单综合单价还应该包括各种机电管线、支架、桥架的避让绕行、翻弯（包括并不限于图纸没有标示、但现场可能出现的绕梁绕柱敷设、躲管、返弯、调整高度及封堵等情况）等施工增加的工程量，在报价时应按施工经验予以充分考虑，结算时不予考虑此部分的增加工程量</w:t>
      </w:r>
      <w:r>
        <w:rPr>
          <w:rFonts w:hint="eastAsia" w:ascii="宋体" w:hAnsi="宋体" w:cs="宋体"/>
          <w:sz w:val="28"/>
          <w:szCs w:val="28"/>
          <w:highlight w:val="none"/>
          <w:lang w:val="en-US" w:eastAsia="zh-CN"/>
        </w:rPr>
        <w:t>；</w:t>
      </w:r>
    </w:p>
    <w:p w14:paraId="2A5E371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default" w:ascii="宋体" w:hAnsi="宋体" w:cs="宋体"/>
          <w:sz w:val="28"/>
          <w:szCs w:val="28"/>
          <w:highlight w:val="none"/>
          <w:lang w:val="en-US" w:eastAsia="zh-CN"/>
        </w:rPr>
      </w:pPr>
      <w:r>
        <w:rPr>
          <w:rFonts w:hint="eastAsia" w:ascii="宋体" w:hAnsi="宋体" w:cs="宋体"/>
          <w:sz w:val="28"/>
          <w:szCs w:val="28"/>
          <w:highlight w:val="none"/>
          <w:lang w:val="en-US" w:eastAsia="zh-CN"/>
        </w:rPr>
        <w:t>（三）暂列金</w:t>
      </w:r>
    </w:p>
    <w:p w14:paraId="43C9845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560" w:firstLineChars="200"/>
        <w:jc w:val="both"/>
        <w:outlineLvl w:val="9"/>
        <w:rPr>
          <w:rFonts w:hint="eastAsia" w:ascii="宋体" w:hAnsi="宋体" w:cs="宋体"/>
          <w:sz w:val="28"/>
          <w:szCs w:val="28"/>
          <w:highlight w:val="none"/>
          <w:lang w:val="en-US" w:eastAsia="zh-CN"/>
        </w:rPr>
      </w:pPr>
      <w:r>
        <w:rPr>
          <w:rFonts w:hint="eastAsia" w:ascii="宋体" w:hAnsi="宋体" w:cs="宋体"/>
          <w:sz w:val="28"/>
          <w:szCs w:val="28"/>
          <w:highlight w:val="none"/>
          <w:lang w:val="en-US" w:eastAsia="zh-CN"/>
        </w:rPr>
        <w:t>1、</w:t>
      </w:r>
      <w:r>
        <w:rPr>
          <w:rFonts w:hint="eastAsia" w:ascii="宋体" w:hAnsi="宋体" w:eastAsia="宋体" w:cs="宋体"/>
          <w:b w:val="0"/>
          <w:bCs/>
          <w:color w:val="auto"/>
          <w:sz w:val="28"/>
          <w:highlight w:val="none"/>
          <w:lang w:val="zh-CN"/>
        </w:rPr>
        <w:t>本</w:t>
      </w:r>
      <w:r>
        <w:rPr>
          <w:rFonts w:hint="eastAsia" w:ascii="宋体" w:hAnsi="宋体" w:cs="宋体"/>
          <w:b w:val="0"/>
          <w:bCs/>
          <w:color w:val="auto"/>
          <w:sz w:val="28"/>
          <w:highlight w:val="none"/>
          <w:lang w:val="en-US" w:eastAsia="zh-CN"/>
        </w:rPr>
        <w:t>项目在</w:t>
      </w:r>
      <w:r>
        <w:rPr>
          <w:rFonts w:hint="eastAsia" w:ascii="宋体" w:hAnsi="宋体" w:cs="宋体"/>
          <w:b w:val="0"/>
          <w:bCs w:val="0"/>
          <w:color w:val="auto"/>
          <w:sz w:val="28"/>
          <w:highlight w:val="none"/>
          <w:lang w:val="en-US" w:eastAsia="zh-CN"/>
        </w:rPr>
        <w:t>项目汇总表</w:t>
      </w:r>
      <w:r>
        <w:rPr>
          <w:rFonts w:hint="eastAsia" w:ascii="宋体" w:hAnsi="宋体" w:cs="宋体"/>
          <w:b w:val="0"/>
          <w:bCs/>
          <w:color w:val="auto"/>
          <w:sz w:val="28"/>
          <w:highlight w:val="none"/>
          <w:lang w:val="en-US" w:eastAsia="zh-CN"/>
        </w:rPr>
        <w:t>中列取</w:t>
      </w:r>
      <w:r>
        <w:rPr>
          <w:rFonts w:hint="eastAsia" w:ascii="宋体" w:hAnsi="宋体" w:cs="宋体"/>
          <w:color w:val="auto"/>
          <w:sz w:val="28"/>
          <w:highlight w:val="none"/>
          <w:lang w:val="en-US" w:eastAsia="zh-CN"/>
        </w:rPr>
        <w:t>暂列金（含税价格）60万元，</w:t>
      </w:r>
      <w:r>
        <w:rPr>
          <w:rFonts w:hint="eastAsia" w:ascii="宋体" w:hAnsi="宋体" w:cs="宋体"/>
          <w:b w:val="0"/>
          <w:bCs/>
          <w:color w:val="auto"/>
          <w:sz w:val="28"/>
          <w:highlight w:val="none"/>
          <w:lang w:val="en-US" w:eastAsia="zh-CN"/>
        </w:rPr>
        <w:t>不得作为竞争性费用，据实结算</w:t>
      </w:r>
      <w:r>
        <w:rPr>
          <w:rFonts w:hint="eastAsia" w:ascii="宋体" w:hAnsi="宋体" w:cs="宋体"/>
          <w:b w:val="0"/>
          <w:bCs/>
          <w:color w:val="000000"/>
          <w:sz w:val="28"/>
          <w:highlight w:val="none"/>
          <w:lang w:val="en-US" w:eastAsia="zh-CN"/>
        </w:rPr>
        <w:t>。</w:t>
      </w:r>
    </w:p>
    <w:p w14:paraId="73DAF35C">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2" w:firstLineChars="200"/>
        <w:jc w:val="both"/>
        <w:textAlignment w:val="baseline"/>
        <w:outlineLvl w:val="9"/>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五、其他</w:t>
      </w:r>
    </w:p>
    <w:p w14:paraId="639CD01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1、本工程量清单所列的工程量是依据</w:t>
      </w:r>
      <w:r>
        <w:rPr>
          <w:rFonts w:hint="eastAsia" w:ascii="宋体" w:hAnsi="宋体" w:cs="宋体"/>
          <w:sz w:val="28"/>
          <w:szCs w:val="28"/>
          <w:highlight w:val="none"/>
          <w:lang w:val="en-US" w:eastAsia="zh-CN"/>
        </w:rPr>
        <w:t>设计图纸</w:t>
      </w:r>
      <w:r>
        <w:rPr>
          <w:rFonts w:hint="eastAsia" w:ascii="宋体" w:hAnsi="宋体" w:eastAsia="宋体" w:cs="宋体"/>
          <w:sz w:val="28"/>
          <w:szCs w:val="28"/>
          <w:highlight w:val="none"/>
          <w:lang w:val="en-US" w:eastAsia="zh-CN"/>
        </w:rPr>
        <w:t>、</w:t>
      </w:r>
      <w:r>
        <w:rPr>
          <w:rFonts w:hint="eastAsia" w:ascii="宋体" w:hAnsi="宋体" w:cs="宋体"/>
          <w:sz w:val="28"/>
          <w:szCs w:val="28"/>
          <w:highlight w:val="none"/>
          <w:lang w:val="en-US" w:eastAsia="zh-CN"/>
        </w:rPr>
        <w:t>招标文件相关规范、图集、确认文件等资料</w:t>
      </w:r>
      <w:r>
        <w:rPr>
          <w:rFonts w:hint="eastAsia" w:ascii="宋体" w:hAnsi="宋体" w:eastAsia="宋体" w:cs="宋体"/>
          <w:sz w:val="28"/>
          <w:szCs w:val="28"/>
          <w:highlight w:val="none"/>
          <w:lang w:val="en-US" w:eastAsia="zh-CN"/>
        </w:rPr>
        <w:t>计算的，作为投标报价的基础</w:t>
      </w:r>
      <w:r>
        <w:rPr>
          <w:rFonts w:hint="eastAsia" w:ascii="宋体" w:hAnsi="宋体" w:cs="宋体"/>
          <w:sz w:val="28"/>
          <w:szCs w:val="28"/>
          <w:highlight w:val="none"/>
          <w:lang w:val="en-US" w:eastAsia="zh-CN"/>
        </w:rPr>
        <w:t>；</w:t>
      </w:r>
    </w:p>
    <w:p w14:paraId="7547A07D">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ascii="宋体" w:hAnsi="宋体" w:eastAsia="宋体" w:cs="宋体"/>
          <w:sz w:val="28"/>
          <w:szCs w:val="28"/>
          <w:highlight w:val="none"/>
          <w:lang w:val="en-US" w:eastAsia="zh-CN"/>
        </w:rPr>
      </w:pPr>
      <w:r>
        <w:rPr>
          <w:rFonts w:hint="eastAsia" w:ascii="宋体" w:hAnsi="宋体" w:cs="宋体"/>
          <w:sz w:val="28"/>
          <w:szCs w:val="28"/>
          <w:highlight w:val="none"/>
          <w:lang w:val="en-US" w:eastAsia="zh-CN"/>
        </w:rPr>
        <w:t>2、</w:t>
      </w:r>
      <w:r>
        <w:rPr>
          <w:rFonts w:hint="eastAsia" w:ascii="宋体" w:hAnsi="宋体" w:eastAsia="宋体" w:cs="宋体"/>
          <w:sz w:val="28"/>
          <w:szCs w:val="28"/>
          <w:highlight w:val="none"/>
          <w:lang w:val="en-US" w:eastAsia="zh-CN"/>
        </w:rPr>
        <w:t>本工程量清单的</w:t>
      </w:r>
      <w:r>
        <w:rPr>
          <w:rFonts w:hint="eastAsia" w:ascii="宋体" w:hAnsi="宋体" w:cs="宋体"/>
          <w:sz w:val="28"/>
          <w:szCs w:val="28"/>
          <w:highlight w:val="none"/>
          <w:lang w:val="en-US" w:eastAsia="zh-CN"/>
        </w:rPr>
        <w:t>特征</w:t>
      </w:r>
      <w:r>
        <w:rPr>
          <w:rFonts w:hint="eastAsia" w:ascii="宋体" w:hAnsi="宋体" w:eastAsia="宋体" w:cs="宋体"/>
          <w:sz w:val="28"/>
          <w:szCs w:val="28"/>
          <w:highlight w:val="none"/>
          <w:lang w:val="en-US" w:eastAsia="zh-CN"/>
        </w:rPr>
        <w:t>描述只是完成</w:t>
      </w:r>
      <w:r>
        <w:rPr>
          <w:rFonts w:hint="eastAsia" w:ascii="宋体" w:hAnsi="宋体" w:cs="宋体"/>
          <w:sz w:val="28"/>
          <w:szCs w:val="28"/>
          <w:highlight w:val="none"/>
          <w:lang w:val="en-US" w:eastAsia="zh-CN"/>
        </w:rPr>
        <w:t>工作内容</w:t>
      </w:r>
      <w:r>
        <w:rPr>
          <w:rFonts w:hint="eastAsia" w:ascii="宋体" w:hAnsi="宋体" w:eastAsia="宋体" w:cs="宋体"/>
          <w:sz w:val="28"/>
          <w:szCs w:val="28"/>
          <w:highlight w:val="none"/>
          <w:lang w:val="en-US" w:eastAsia="zh-CN"/>
        </w:rPr>
        <w:t>的基本</w:t>
      </w:r>
      <w:r>
        <w:rPr>
          <w:rFonts w:hint="eastAsia" w:ascii="宋体" w:hAnsi="宋体" w:cs="宋体"/>
          <w:sz w:val="28"/>
          <w:szCs w:val="28"/>
          <w:highlight w:val="none"/>
          <w:lang w:val="en-US" w:eastAsia="zh-CN"/>
        </w:rPr>
        <w:t>描述</w:t>
      </w:r>
      <w:r>
        <w:rPr>
          <w:rFonts w:hint="eastAsia" w:ascii="宋体" w:hAnsi="宋体" w:eastAsia="宋体" w:cs="宋体"/>
          <w:sz w:val="28"/>
          <w:szCs w:val="28"/>
          <w:highlight w:val="none"/>
          <w:lang w:val="en-US" w:eastAsia="zh-CN"/>
        </w:rPr>
        <w:t>，未尽事项参照设计图纸、招标文件、技术标准及相关规范、图集要求</w:t>
      </w:r>
      <w:r>
        <w:rPr>
          <w:rFonts w:hint="eastAsia" w:ascii="宋体" w:hAnsi="宋体" w:cs="宋体"/>
          <w:sz w:val="28"/>
          <w:szCs w:val="28"/>
          <w:highlight w:val="none"/>
          <w:lang w:val="en-US" w:eastAsia="zh-CN"/>
        </w:rPr>
        <w:t>，</w:t>
      </w:r>
      <w:r>
        <w:rPr>
          <w:rFonts w:hint="eastAsia" w:ascii="宋体" w:hAnsi="宋体" w:eastAsia="宋体" w:cs="宋体"/>
          <w:sz w:val="28"/>
          <w:szCs w:val="28"/>
          <w:highlight w:val="none"/>
          <w:lang w:val="en-US" w:eastAsia="zh-CN"/>
        </w:rPr>
        <w:t>投标人应根据</w:t>
      </w:r>
      <w:r>
        <w:rPr>
          <w:rFonts w:hint="eastAsia" w:ascii="宋体" w:hAnsi="宋体" w:cs="宋体"/>
          <w:sz w:val="28"/>
          <w:szCs w:val="28"/>
          <w:highlight w:val="none"/>
          <w:lang w:val="en-US" w:eastAsia="zh-CN"/>
        </w:rPr>
        <w:t>相关资料、</w:t>
      </w:r>
      <w:r>
        <w:rPr>
          <w:rFonts w:hint="eastAsia" w:ascii="宋体" w:hAnsi="宋体" w:eastAsia="宋体" w:cs="宋体"/>
          <w:sz w:val="28"/>
          <w:szCs w:val="28"/>
          <w:highlight w:val="none"/>
          <w:lang w:val="en-US" w:eastAsia="zh-CN"/>
        </w:rPr>
        <w:t>施工规范、</w:t>
      </w:r>
      <w:r>
        <w:rPr>
          <w:rFonts w:hint="eastAsia" w:ascii="宋体" w:hAnsi="宋体" w:cs="宋体"/>
          <w:sz w:val="28"/>
          <w:szCs w:val="28"/>
          <w:highlight w:val="none"/>
          <w:lang w:val="en-US" w:eastAsia="zh-CN"/>
        </w:rPr>
        <w:t>施工工艺、施工工序、深化设计以及本企业的施工方案</w:t>
      </w:r>
      <w:r>
        <w:rPr>
          <w:rFonts w:hint="eastAsia" w:ascii="宋体" w:hAnsi="宋体" w:eastAsia="宋体" w:cs="宋体"/>
          <w:sz w:val="28"/>
          <w:szCs w:val="28"/>
          <w:highlight w:val="none"/>
          <w:lang w:val="en-US" w:eastAsia="zh-CN"/>
        </w:rPr>
        <w:t>等，满足</w:t>
      </w:r>
      <w:r>
        <w:rPr>
          <w:rFonts w:hint="eastAsia" w:ascii="宋体" w:hAnsi="宋体" w:cs="宋体"/>
          <w:sz w:val="28"/>
          <w:szCs w:val="28"/>
          <w:highlight w:val="none"/>
          <w:lang w:val="en-US" w:eastAsia="zh-CN"/>
        </w:rPr>
        <w:t>相应</w:t>
      </w:r>
      <w:r>
        <w:rPr>
          <w:rFonts w:hint="eastAsia" w:ascii="宋体" w:hAnsi="宋体" w:eastAsia="宋体" w:cs="宋体"/>
          <w:sz w:val="28"/>
          <w:szCs w:val="28"/>
          <w:highlight w:val="none"/>
          <w:lang w:val="en-US" w:eastAsia="zh-CN"/>
        </w:rPr>
        <w:t>要求进行报价；</w:t>
      </w:r>
    </w:p>
    <w:p w14:paraId="59698F9C">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ascii="宋体" w:hAnsi="宋体" w:eastAsia="宋体" w:cs="宋体"/>
          <w:sz w:val="28"/>
          <w:szCs w:val="28"/>
          <w:highlight w:val="none"/>
          <w:lang w:val="en-US" w:eastAsia="zh-CN"/>
        </w:rPr>
      </w:pPr>
      <w:r>
        <w:rPr>
          <w:rFonts w:hint="eastAsia" w:ascii="宋体" w:hAnsi="宋体" w:cs="宋体"/>
          <w:sz w:val="28"/>
          <w:szCs w:val="28"/>
          <w:highlight w:val="none"/>
          <w:lang w:val="en-US" w:eastAsia="zh-CN"/>
        </w:rPr>
        <w:t>3</w:t>
      </w:r>
      <w:r>
        <w:rPr>
          <w:rFonts w:hint="eastAsia" w:ascii="宋体" w:hAnsi="宋体" w:eastAsia="宋体" w:cs="宋体"/>
          <w:sz w:val="28"/>
          <w:szCs w:val="28"/>
          <w:highlight w:val="none"/>
          <w:lang w:val="en-US" w:eastAsia="zh-CN"/>
        </w:rPr>
        <w:t>、本工程量清单应与招标文件、地勘报告、</w:t>
      </w:r>
      <w:r>
        <w:rPr>
          <w:rFonts w:hint="eastAsia" w:ascii="宋体" w:hAnsi="宋体" w:cs="宋体"/>
          <w:sz w:val="28"/>
          <w:szCs w:val="28"/>
          <w:highlight w:val="none"/>
          <w:lang w:val="en-US" w:eastAsia="zh-CN"/>
        </w:rPr>
        <w:t>设计图纸</w:t>
      </w:r>
      <w:r>
        <w:rPr>
          <w:rFonts w:hint="eastAsia" w:ascii="宋体" w:hAnsi="宋体" w:eastAsia="宋体" w:cs="宋体"/>
          <w:sz w:val="28"/>
          <w:szCs w:val="28"/>
          <w:highlight w:val="none"/>
          <w:lang w:val="en-US" w:eastAsia="zh-CN"/>
        </w:rPr>
        <w:t>等项目相关资料一起阅读和理解；</w:t>
      </w:r>
    </w:p>
    <w:p w14:paraId="25BD3533">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0" w:rightChars="0" w:firstLine="560" w:firstLineChars="200"/>
        <w:jc w:val="both"/>
        <w:textAlignment w:val="baseline"/>
        <w:outlineLvl w:val="9"/>
        <w:rPr>
          <w:rFonts w:hint="eastAsia" w:ascii="宋体" w:hAnsi="宋体" w:cs="宋体"/>
          <w:sz w:val="28"/>
          <w:szCs w:val="28"/>
          <w:highlight w:val="none"/>
          <w:lang w:val="en-US" w:eastAsia="zh-CN"/>
        </w:rPr>
      </w:pPr>
      <w:r>
        <w:rPr>
          <w:rFonts w:hint="eastAsia" w:ascii="宋体" w:hAnsi="宋体" w:cs="宋体"/>
          <w:sz w:val="28"/>
          <w:szCs w:val="28"/>
          <w:highlight w:val="none"/>
          <w:lang w:val="en-US" w:eastAsia="zh-CN"/>
        </w:rPr>
        <w:t>4、</w:t>
      </w:r>
      <w:r>
        <w:rPr>
          <w:rFonts w:hint="eastAsia" w:ascii="宋体" w:hAnsi="宋体" w:eastAsia="宋体" w:cs="宋体"/>
          <w:sz w:val="28"/>
          <w:szCs w:val="28"/>
          <w:highlight w:val="none"/>
          <w:lang w:val="en-US" w:eastAsia="zh-CN"/>
        </w:rPr>
        <w:t>本项目所用混凝土采用商</w:t>
      </w:r>
      <w:r>
        <w:rPr>
          <w:rFonts w:hint="eastAsia" w:ascii="宋体" w:hAnsi="宋体" w:cs="宋体"/>
          <w:sz w:val="28"/>
          <w:szCs w:val="28"/>
          <w:highlight w:val="none"/>
          <w:lang w:val="en-US" w:eastAsia="zh-CN"/>
        </w:rPr>
        <w:t>砼</w:t>
      </w:r>
      <w:r>
        <w:rPr>
          <w:rFonts w:hint="eastAsia" w:ascii="宋体" w:hAnsi="宋体" w:eastAsia="宋体" w:cs="宋体"/>
          <w:sz w:val="28"/>
          <w:szCs w:val="28"/>
          <w:highlight w:val="none"/>
          <w:lang w:val="en-US" w:eastAsia="zh-CN"/>
        </w:rPr>
        <w:t>，砂浆采用预拌砂浆</w:t>
      </w:r>
      <w:r>
        <w:rPr>
          <w:rFonts w:hint="eastAsia" w:ascii="宋体" w:hAnsi="宋体" w:cs="宋体"/>
          <w:sz w:val="28"/>
          <w:szCs w:val="28"/>
          <w:highlight w:val="none"/>
          <w:lang w:val="en-US" w:eastAsia="zh-CN"/>
        </w:rPr>
        <w:t>；</w:t>
      </w:r>
    </w:p>
    <w:p w14:paraId="4ECF1C09">
      <w:pPr>
        <w:pStyle w:val="8"/>
        <w:keepNext w:val="0"/>
        <w:keepLines w:val="0"/>
        <w:widowControl/>
        <w:suppressLineNumbers w:val="0"/>
        <w:spacing w:before="0" w:beforeAutospacing="0" w:after="0" w:afterAutospacing="0"/>
        <w:ind w:left="0" w:right="0" w:firstLine="560" w:firstLineChars="200"/>
        <w:rPr>
          <w:rFonts w:hint="default" w:ascii="宋体" w:hAnsi="宋体" w:cs="宋体"/>
          <w:sz w:val="28"/>
          <w:szCs w:val="28"/>
          <w:highlight w:val="none"/>
          <w:lang w:val="en-US" w:eastAsia="zh-CN"/>
        </w:rPr>
      </w:pPr>
      <w:r>
        <w:rPr>
          <w:rFonts w:hint="eastAsia" w:ascii="宋体" w:hAnsi="宋体" w:cs="宋体"/>
          <w:sz w:val="28"/>
          <w:szCs w:val="28"/>
          <w:highlight w:val="none"/>
          <w:lang w:val="en-US" w:eastAsia="zh-CN"/>
        </w:rPr>
        <w:t>5、关于深化设计：为保证实现设计要求、国家强制规范、行业标准以及为保证质量、功能、安全、美观等需求而发生的所有深化设计或二次设计，其设计费用均包含在投标报价中，结算时不在增加和调整，因深化设计或二次设计导致的增加零配件、辅材、预埋件、措施费等</w:t>
      </w:r>
      <w:r>
        <w:rPr>
          <w:rFonts w:hint="eastAsia" w:ascii="宋体" w:hAnsi="宋体" w:eastAsia="宋体" w:cs="宋体"/>
          <w:sz w:val="28"/>
          <w:szCs w:val="28"/>
          <w:highlight w:val="none"/>
          <w:lang w:val="en-US" w:eastAsia="zh-CN"/>
        </w:rPr>
        <w:t>均需投标单位综合考虑在已列的各项工程量清单的综合单价中报价，结算时不</w:t>
      </w:r>
      <w:r>
        <w:rPr>
          <w:rFonts w:hint="eastAsia" w:ascii="宋体" w:hAnsi="宋体" w:cs="宋体"/>
          <w:sz w:val="28"/>
          <w:szCs w:val="28"/>
          <w:highlight w:val="none"/>
          <w:lang w:val="en-US" w:eastAsia="zh-CN"/>
        </w:rPr>
        <w:t>另</w:t>
      </w:r>
      <w:r>
        <w:rPr>
          <w:rFonts w:hint="eastAsia" w:ascii="宋体" w:hAnsi="宋体" w:eastAsia="宋体" w:cs="宋体"/>
          <w:sz w:val="28"/>
          <w:szCs w:val="28"/>
          <w:highlight w:val="none"/>
          <w:lang w:val="en-US" w:eastAsia="zh-CN"/>
        </w:rPr>
        <w:t>计付</w:t>
      </w:r>
      <w:r>
        <w:rPr>
          <w:rFonts w:hint="eastAsia" w:ascii="宋体" w:hAnsi="宋体" w:cs="宋体"/>
          <w:sz w:val="28"/>
          <w:szCs w:val="28"/>
          <w:highlight w:val="none"/>
          <w:lang w:val="en-US" w:eastAsia="zh-CN"/>
        </w:rPr>
        <w:t>；深化设计具体要求以招标人要求为准；</w:t>
      </w:r>
    </w:p>
    <w:p w14:paraId="6B3948AC">
      <w:pPr>
        <w:pStyle w:val="8"/>
        <w:keepNext w:val="0"/>
        <w:keepLines w:val="0"/>
        <w:widowControl/>
        <w:suppressLineNumbers w:val="0"/>
        <w:spacing w:before="0" w:beforeAutospacing="0" w:after="0" w:afterAutospacing="0"/>
        <w:ind w:left="0" w:right="0" w:firstLine="560" w:firstLineChars="200"/>
        <w:rPr>
          <w:rFonts w:hint="eastAsia" w:ascii="宋体" w:hAnsi="宋体" w:cs="宋体"/>
          <w:b w:val="0"/>
          <w:bCs/>
          <w:color w:val="auto"/>
          <w:sz w:val="28"/>
          <w:highlight w:val="none"/>
          <w:lang w:val="en-US" w:eastAsia="zh-CN"/>
        </w:rPr>
      </w:pPr>
      <w:r>
        <w:rPr>
          <w:rFonts w:hint="eastAsia" w:ascii="宋体" w:hAnsi="宋体" w:cs="宋体"/>
          <w:sz w:val="28"/>
          <w:szCs w:val="28"/>
          <w:highlight w:val="none"/>
          <w:lang w:val="en-US" w:eastAsia="zh-CN"/>
        </w:rPr>
        <w:t>6、</w:t>
      </w:r>
      <w:r>
        <w:rPr>
          <w:rFonts w:hint="eastAsia" w:ascii="宋体" w:hAnsi="宋体" w:cs="宋体"/>
          <w:b w:val="0"/>
          <w:bCs/>
          <w:color w:val="auto"/>
          <w:sz w:val="28"/>
          <w:highlight w:val="none"/>
          <w:lang w:val="en-US" w:eastAsia="zh-CN"/>
        </w:rPr>
        <w:t>对于招标文件技术要求中明确是由中标单位来承担的费用，无论工程量清单是否单独列项，均需投标单位综合考虑在已列的各项工程量清单的综合单价的报价中，结算时不予计取；</w:t>
      </w:r>
    </w:p>
    <w:p w14:paraId="64F1C13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560" w:firstLineChars="200"/>
        <w:jc w:val="both"/>
        <w:outlineLvl w:val="9"/>
        <w:rPr>
          <w:rFonts w:hint="default" w:ascii="宋体" w:hAnsi="宋体" w:eastAsia="宋体" w:cs="宋体"/>
          <w:sz w:val="28"/>
          <w:szCs w:val="28"/>
          <w:highlight w:val="yellow"/>
          <w:lang w:val="en-US" w:eastAsia="zh-CN"/>
        </w:rPr>
      </w:pPr>
      <w:r>
        <w:rPr>
          <w:rFonts w:hint="eastAsia" w:ascii="宋体" w:hAnsi="宋体" w:cs="宋体"/>
          <w:b w:val="0"/>
          <w:bCs/>
          <w:color w:val="000000"/>
          <w:sz w:val="28"/>
          <w:highlight w:val="none"/>
          <w:lang w:val="en-US" w:eastAsia="zh-CN"/>
        </w:rPr>
        <w:t>7、</w:t>
      </w:r>
      <w:r>
        <w:rPr>
          <w:rFonts w:hint="eastAsia" w:ascii="宋体" w:hAnsi="宋体" w:cs="宋体"/>
          <w:b w:val="0"/>
          <w:bCs w:val="0"/>
          <w:color w:val="auto"/>
          <w:sz w:val="28"/>
          <w:highlight w:val="none"/>
          <w:lang w:val="en-US" w:eastAsia="zh-CN"/>
        </w:rPr>
        <w:t>本项目建筑工人实名制管理费未单独列项，已综合考虑在已列的各项工程量清单的综合单价中，结算时不单独计取；</w:t>
      </w:r>
    </w:p>
    <w:p w14:paraId="363AB647">
      <w:pPr>
        <w:spacing w:line="360" w:lineRule="auto"/>
        <w:rPr>
          <w:rFonts w:hint="eastAsia" w:ascii="宋体" w:hAnsi="宋体" w:eastAsia="宋体" w:cs="宋体"/>
          <w:b/>
          <w:bCs/>
          <w:sz w:val="28"/>
          <w:szCs w:val="28"/>
          <w:lang w:eastAsia="zh-CN"/>
        </w:rPr>
      </w:pPr>
      <w:r>
        <w:rPr>
          <w:rFonts w:hint="eastAsia" w:ascii="宋体" w:hAnsi="宋体" w:cs="宋体"/>
          <w:b/>
          <w:bCs/>
          <w:sz w:val="28"/>
          <w:szCs w:val="28"/>
          <w:lang w:eastAsia="zh-CN"/>
        </w:rPr>
        <w:t>【此页无正文】</w:t>
      </w:r>
    </w:p>
    <w:tbl>
      <w:tblPr>
        <w:tblStyle w:val="9"/>
        <w:tblW w:w="0" w:type="auto"/>
        <w:tblInd w:w="1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3774"/>
      </w:tblGrid>
      <w:tr w14:paraId="0843F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4536" w:type="dxa"/>
            <w:tcBorders>
              <w:top w:val="double" w:color="auto" w:sz="4" w:space="0"/>
              <w:left w:val="nil"/>
              <w:bottom w:val="nil"/>
              <w:right w:val="nil"/>
            </w:tcBorders>
            <w:noWrap w:val="0"/>
            <w:vAlign w:val="top"/>
          </w:tcPr>
          <w:p w14:paraId="696F712E">
            <w:pPr>
              <w:textAlignment w:val="baseline"/>
              <w:rPr>
                <w:rFonts w:ascii="宋体" w:hAnsi="宋体" w:cs="宋体"/>
                <w:sz w:val="28"/>
                <w:szCs w:val="28"/>
              </w:rPr>
            </w:pPr>
            <w:r>
              <w:rPr>
                <w:rFonts w:hint="eastAsia" w:ascii="宋体" w:hAnsi="宋体" w:cs="宋体"/>
                <w:sz w:val="28"/>
                <w:szCs w:val="28"/>
                <w:lang w:eastAsia="zh-CN"/>
              </w:rPr>
              <w:t>编审</w:t>
            </w:r>
            <w:r>
              <w:rPr>
                <w:rFonts w:hint="eastAsia" w:ascii="宋体" w:hAnsi="宋体" w:cs="宋体"/>
                <w:sz w:val="28"/>
                <w:szCs w:val="28"/>
              </w:rPr>
              <w:t>人：</w:t>
            </w:r>
          </w:p>
        </w:tc>
        <w:tc>
          <w:tcPr>
            <w:tcW w:w="3774" w:type="dxa"/>
            <w:tcBorders>
              <w:top w:val="double" w:color="auto" w:sz="4" w:space="0"/>
              <w:left w:val="nil"/>
              <w:bottom w:val="nil"/>
              <w:right w:val="nil"/>
            </w:tcBorders>
            <w:noWrap w:val="0"/>
            <w:vAlign w:val="top"/>
          </w:tcPr>
          <w:p w14:paraId="5A0DDF44">
            <w:pPr>
              <w:textAlignment w:val="baseline"/>
              <w:rPr>
                <w:rFonts w:ascii="宋体" w:hAnsi="宋体" w:cs="宋体"/>
                <w:sz w:val="28"/>
                <w:szCs w:val="28"/>
              </w:rPr>
            </w:pPr>
          </w:p>
        </w:tc>
      </w:tr>
      <w:tr w14:paraId="2CD0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5" w:hRule="atLeast"/>
        </w:trPr>
        <w:tc>
          <w:tcPr>
            <w:tcW w:w="4536" w:type="dxa"/>
            <w:tcBorders>
              <w:top w:val="nil"/>
              <w:left w:val="nil"/>
              <w:bottom w:val="double" w:color="auto" w:sz="4" w:space="0"/>
              <w:right w:val="nil"/>
            </w:tcBorders>
            <w:noWrap w:val="0"/>
            <w:vAlign w:val="top"/>
          </w:tcPr>
          <w:p w14:paraId="7721E304">
            <w:pPr>
              <w:textAlignment w:val="baseline"/>
              <w:rPr>
                <w:rFonts w:ascii="宋体" w:hAnsi="宋体" w:cs="宋体"/>
                <w:sz w:val="28"/>
                <w:szCs w:val="28"/>
              </w:rPr>
            </w:pPr>
            <w:bookmarkStart w:id="0" w:name="OLE_LINK9"/>
          </w:p>
          <w:p w14:paraId="287920BA">
            <w:pPr>
              <w:textAlignment w:val="baseline"/>
              <w:rPr>
                <w:rFonts w:ascii="宋体" w:hAnsi="宋体" w:cs="宋体"/>
                <w:sz w:val="28"/>
                <w:szCs w:val="28"/>
              </w:rPr>
            </w:pPr>
          </w:p>
          <w:bookmarkEnd w:id="0"/>
          <w:p w14:paraId="7D4B1BF9">
            <w:pPr>
              <w:textAlignment w:val="baseline"/>
              <w:rPr>
                <w:rFonts w:ascii="宋体" w:hAnsi="宋体" w:cs="宋体"/>
                <w:sz w:val="28"/>
                <w:szCs w:val="28"/>
              </w:rPr>
            </w:pPr>
          </w:p>
        </w:tc>
        <w:tc>
          <w:tcPr>
            <w:tcW w:w="3774" w:type="dxa"/>
            <w:tcBorders>
              <w:top w:val="nil"/>
              <w:left w:val="nil"/>
              <w:bottom w:val="double" w:color="auto" w:sz="4" w:space="0"/>
              <w:right w:val="nil"/>
            </w:tcBorders>
            <w:noWrap w:val="0"/>
            <w:vAlign w:val="top"/>
          </w:tcPr>
          <w:p w14:paraId="16326AA8">
            <w:pPr>
              <w:textAlignment w:val="baseline"/>
              <w:rPr>
                <w:rFonts w:ascii="宋体" w:hAnsi="宋体" w:cs="宋体"/>
                <w:sz w:val="28"/>
                <w:szCs w:val="28"/>
              </w:rPr>
            </w:pPr>
            <w:bookmarkStart w:id="1" w:name="OLE_LINK13"/>
          </w:p>
          <w:p w14:paraId="49904A53">
            <w:pPr>
              <w:textAlignment w:val="baseline"/>
              <w:rPr>
                <w:rFonts w:ascii="宋体" w:hAnsi="宋体" w:cs="宋体"/>
                <w:sz w:val="28"/>
                <w:szCs w:val="28"/>
              </w:rPr>
            </w:pPr>
            <w:bookmarkStart w:id="2" w:name="OLE_LINK12"/>
          </w:p>
          <w:p w14:paraId="09325D84">
            <w:pPr>
              <w:textAlignment w:val="baseline"/>
              <w:rPr>
                <w:rFonts w:ascii="宋体" w:hAnsi="宋体" w:cs="宋体"/>
                <w:sz w:val="28"/>
                <w:szCs w:val="28"/>
              </w:rPr>
            </w:pPr>
          </w:p>
          <w:p w14:paraId="0445EFB7">
            <w:pPr>
              <w:textAlignment w:val="baseline"/>
              <w:rPr>
                <w:rFonts w:ascii="宋体" w:hAnsi="宋体" w:cs="宋体"/>
                <w:sz w:val="28"/>
                <w:szCs w:val="28"/>
              </w:rPr>
            </w:pPr>
          </w:p>
          <w:bookmarkEnd w:id="1"/>
          <w:bookmarkEnd w:id="2"/>
          <w:p w14:paraId="65E5D50F">
            <w:pPr>
              <w:textAlignment w:val="baseline"/>
              <w:rPr>
                <w:rFonts w:ascii="宋体" w:hAnsi="宋体" w:cs="宋体"/>
                <w:sz w:val="28"/>
                <w:szCs w:val="28"/>
              </w:rPr>
            </w:pPr>
          </w:p>
        </w:tc>
      </w:tr>
      <w:tr w14:paraId="0623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4536" w:type="dxa"/>
            <w:tcBorders>
              <w:top w:val="double" w:color="auto" w:sz="4" w:space="0"/>
              <w:left w:val="nil"/>
              <w:bottom w:val="nil"/>
              <w:right w:val="nil"/>
            </w:tcBorders>
            <w:noWrap w:val="0"/>
            <w:vAlign w:val="top"/>
          </w:tcPr>
          <w:p w14:paraId="0D9027FF">
            <w:pPr>
              <w:textAlignment w:val="baseline"/>
              <w:rPr>
                <w:rFonts w:ascii="宋体" w:hAnsi="宋体" w:cs="宋体"/>
                <w:sz w:val="28"/>
                <w:szCs w:val="28"/>
              </w:rPr>
            </w:pPr>
            <w:r>
              <w:rPr>
                <w:rFonts w:hint="eastAsia" w:ascii="宋体" w:hAnsi="宋体" w:cs="宋体"/>
                <w:sz w:val="28"/>
                <w:szCs w:val="28"/>
                <w:lang w:eastAsia="zh-CN"/>
              </w:rPr>
              <w:t>复审</w:t>
            </w:r>
            <w:r>
              <w:rPr>
                <w:rFonts w:hint="eastAsia" w:ascii="宋体" w:hAnsi="宋体" w:cs="宋体"/>
                <w:sz w:val="28"/>
                <w:szCs w:val="28"/>
              </w:rPr>
              <w:t>人</w:t>
            </w:r>
            <w:r>
              <w:rPr>
                <w:rFonts w:hint="eastAsia" w:ascii="宋体" w:hAnsi="宋体" w:cs="宋体"/>
                <w:sz w:val="28"/>
                <w:szCs w:val="28"/>
                <w:lang w:eastAsia="zh-CN"/>
              </w:rPr>
              <w:t>：</w:t>
            </w:r>
          </w:p>
        </w:tc>
        <w:tc>
          <w:tcPr>
            <w:tcW w:w="3774" w:type="dxa"/>
            <w:tcBorders>
              <w:top w:val="double" w:color="auto" w:sz="4" w:space="0"/>
              <w:left w:val="nil"/>
              <w:bottom w:val="nil"/>
              <w:right w:val="nil"/>
            </w:tcBorders>
            <w:noWrap w:val="0"/>
            <w:vAlign w:val="top"/>
          </w:tcPr>
          <w:p w14:paraId="641FF9D1">
            <w:pPr>
              <w:textAlignment w:val="baseline"/>
              <w:rPr>
                <w:rFonts w:ascii="宋体" w:hAnsi="宋体" w:cs="宋体"/>
                <w:sz w:val="28"/>
                <w:szCs w:val="28"/>
              </w:rPr>
            </w:pPr>
          </w:p>
        </w:tc>
      </w:tr>
      <w:tr w14:paraId="6BDFA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0" w:hRule="atLeast"/>
        </w:trPr>
        <w:tc>
          <w:tcPr>
            <w:tcW w:w="4536" w:type="dxa"/>
            <w:tcBorders>
              <w:top w:val="nil"/>
              <w:left w:val="nil"/>
              <w:bottom w:val="double" w:color="auto" w:sz="4" w:space="0"/>
              <w:right w:val="nil"/>
            </w:tcBorders>
            <w:noWrap w:val="0"/>
            <w:vAlign w:val="top"/>
          </w:tcPr>
          <w:p w14:paraId="3F3A5842">
            <w:pPr>
              <w:textAlignment w:val="baseline"/>
              <w:rPr>
                <w:rFonts w:ascii="宋体" w:hAnsi="宋体" w:cs="宋体"/>
                <w:sz w:val="28"/>
                <w:szCs w:val="28"/>
              </w:rPr>
            </w:pPr>
          </w:p>
        </w:tc>
        <w:tc>
          <w:tcPr>
            <w:tcW w:w="3774" w:type="dxa"/>
            <w:tcBorders>
              <w:top w:val="nil"/>
              <w:left w:val="nil"/>
              <w:bottom w:val="double" w:color="auto" w:sz="4" w:space="0"/>
              <w:right w:val="nil"/>
            </w:tcBorders>
            <w:noWrap w:val="0"/>
            <w:vAlign w:val="top"/>
          </w:tcPr>
          <w:p w14:paraId="7B9B5E80">
            <w:pPr>
              <w:textAlignment w:val="baseline"/>
              <w:rPr>
                <w:rFonts w:ascii="宋体" w:hAnsi="宋体" w:cs="宋体"/>
                <w:sz w:val="28"/>
                <w:szCs w:val="28"/>
              </w:rPr>
            </w:pPr>
          </w:p>
          <w:p w14:paraId="4524E396">
            <w:pPr>
              <w:textAlignment w:val="baseline"/>
              <w:rPr>
                <w:rFonts w:ascii="宋体" w:hAnsi="宋体" w:cs="宋体"/>
                <w:sz w:val="28"/>
                <w:szCs w:val="28"/>
              </w:rPr>
            </w:pPr>
          </w:p>
          <w:p w14:paraId="2619282D">
            <w:pPr>
              <w:textAlignment w:val="baseline"/>
              <w:rPr>
                <w:rFonts w:ascii="宋体" w:hAnsi="宋体" w:cs="宋体"/>
                <w:sz w:val="28"/>
                <w:szCs w:val="28"/>
              </w:rPr>
            </w:pPr>
          </w:p>
          <w:p w14:paraId="3237199F">
            <w:pPr>
              <w:textAlignment w:val="baseline"/>
              <w:rPr>
                <w:rFonts w:ascii="宋体" w:hAnsi="宋体" w:cs="宋体"/>
                <w:sz w:val="28"/>
                <w:szCs w:val="28"/>
              </w:rPr>
            </w:pPr>
          </w:p>
          <w:p w14:paraId="0E53F7D3">
            <w:pPr>
              <w:textAlignment w:val="baseline"/>
              <w:rPr>
                <w:rFonts w:ascii="宋体" w:hAnsi="宋体" w:cs="宋体"/>
                <w:sz w:val="28"/>
                <w:szCs w:val="28"/>
              </w:rPr>
            </w:pPr>
          </w:p>
        </w:tc>
      </w:tr>
      <w:tr w14:paraId="2DFFF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9" w:hRule="atLeast"/>
        </w:trPr>
        <w:tc>
          <w:tcPr>
            <w:tcW w:w="4536" w:type="dxa"/>
            <w:tcBorders>
              <w:top w:val="nil"/>
              <w:left w:val="nil"/>
              <w:bottom w:val="double" w:color="auto" w:sz="4" w:space="0"/>
              <w:right w:val="nil"/>
            </w:tcBorders>
            <w:noWrap w:val="0"/>
            <w:vAlign w:val="top"/>
          </w:tcPr>
          <w:p w14:paraId="6079FD79">
            <w:pPr>
              <w:textAlignment w:val="baseline"/>
              <w:rPr>
                <w:rFonts w:hint="eastAsia" w:ascii="宋体" w:hAnsi="宋体" w:cs="宋体"/>
                <w:sz w:val="28"/>
                <w:szCs w:val="28"/>
                <w:lang w:eastAsia="zh-CN"/>
              </w:rPr>
            </w:pPr>
            <w:r>
              <w:rPr>
                <w:rFonts w:hint="eastAsia" w:ascii="宋体" w:hAnsi="宋体" w:cs="宋体"/>
                <w:sz w:val="28"/>
                <w:szCs w:val="28"/>
                <w:lang w:eastAsia="zh-CN"/>
              </w:rPr>
              <w:t>终审</w:t>
            </w:r>
            <w:r>
              <w:rPr>
                <w:rFonts w:hint="eastAsia" w:ascii="宋体" w:hAnsi="宋体" w:cs="宋体"/>
                <w:sz w:val="28"/>
                <w:szCs w:val="28"/>
              </w:rPr>
              <w:t>人</w:t>
            </w:r>
            <w:r>
              <w:rPr>
                <w:rFonts w:hint="eastAsia" w:ascii="宋体" w:hAnsi="宋体" w:cs="宋体"/>
                <w:sz w:val="28"/>
                <w:szCs w:val="28"/>
                <w:lang w:eastAsia="zh-CN"/>
              </w:rPr>
              <w:t>：</w:t>
            </w:r>
          </w:p>
          <w:p w14:paraId="212BE3F9">
            <w:pPr>
              <w:textAlignment w:val="baseline"/>
              <w:rPr>
                <w:rFonts w:hint="eastAsia" w:ascii="宋体" w:hAnsi="宋体" w:cs="宋体"/>
                <w:sz w:val="28"/>
                <w:szCs w:val="28"/>
                <w:lang w:eastAsia="zh-CN"/>
              </w:rPr>
            </w:pPr>
          </w:p>
          <w:p w14:paraId="4C7C9B93">
            <w:pPr>
              <w:textAlignment w:val="baseline"/>
              <w:rPr>
                <w:rFonts w:hint="eastAsia" w:ascii="宋体" w:hAnsi="宋体" w:cs="宋体"/>
                <w:sz w:val="28"/>
                <w:szCs w:val="28"/>
                <w:lang w:eastAsia="zh-CN"/>
              </w:rPr>
            </w:pPr>
          </w:p>
        </w:tc>
        <w:tc>
          <w:tcPr>
            <w:tcW w:w="3774" w:type="dxa"/>
            <w:tcBorders>
              <w:top w:val="nil"/>
              <w:left w:val="nil"/>
              <w:bottom w:val="double" w:color="auto" w:sz="4" w:space="0"/>
              <w:right w:val="nil"/>
            </w:tcBorders>
            <w:noWrap w:val="0"/>
            <w:vAlign w:val="top"/>
          </w:tcPr>
          <w:p w14:paraId="65DB38A0">
            <w:pPr>
              <w:textAlignment w:val="baseline"/>
              <w:rPr>
                <w:rFonts w:ascii="宋体" w:hAnsi="宋体" w:cs="宋体"/>
                <w:sz w:val="28"/>
                <w:szCs w:val="28"/>
              </w:rPr>
            </w:pPr>
          </w:p>
        </w:tc>
      </w:tr>
      <w:tr w14:paraId="16F1F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4" w:hRule="atLeast"/>
        </w:trPr>
        <w:tc>
          <w:tcPr>
            <w:tcW w:w="8310" w:type="dxa"/>
            <w:gridSpan w:val="2"/>
            <w:tcBorders>
              <w:top w:val="double" w:color="auto" w:sz="4" w:space="0"/>
              <w:left w:val="nil"/>
              <w:bottom w:val="double" w:color="auto" w:sz="4" w:space="0"/>
              <w:right w:val="nil"/>
            </w:tcBorders>
            <w:noWrap w:val="0"/>
            <w:vAlign w:val="center"/>
          </w:tcPr>
          <w:p w14:paraId="1A24B1A7">
            <w:pPr>
              <w:textAlignment w:val="baseline"/>
              <w:rPr>
                <w:rFonts w:ascii="宋体" w:hAnsi="宋体" w:cs="宋体"/>
                <w:sz w:val="28"/>
                <w:szCs w:val="28"/>
              </w:rPr>
            </w:pPr>
            <w:r>
              <w:rPr>
                <w:rFonts w:hint="eastAsia" w:ascii="宋体" w:hAnsi="宋体" w:cs="宋体"/>
                <w:sz w:val="28"/>
                <w:szCs w:val="28"/>
              </w:rPr>
              <w:t>咨询单位：辽宁杰威工程造价咨询有限责任公司</w:t>
            </w:r>
          </w:p>
        </w:tc>
      </w:tr>
    </w:tbl>
    <w:p w14:paraId="3EB953A9">
      <w:pPr>
        <w:textAlignment w:val="baseline"/>
        <w:rPr>
          <w:rFonts w:hint="default" w:eastAsia="宋体"/>
          <w:highlight w:val="none"/>
          <w:lang w:val="en-US" w:eastAsia="zh-CN"/>
        </w:rPr>
      </w:pPr>
      <w:r>
        <w:rPr>
          <w:rFonts w:hint="eastAsia" w:ascii="宋体" w:hAnsi="宋体" w:cs="宋体"/>
          <w:sz w:val="28"/>
          <w:szCs w:val="28"/>
        </w:rPr>
        <w:t xml:space="preserve">                  </w:t>
      </w:r>
      <w:r>
        <w:rPr>
          <w:rFonts w:hint="eastAsia" w:ascii="宋体" w:hAnsi="宋体" w:cs="宋体"/>
          <w:sz w:val="28"/>
          <w:szCs w:val="28"/>
          <w:lang w:val="en-US" w:eastAsia="zh-CN"/>
        </w:rPr>
        <w:t xml:space="preserve">   </w:t>
      </w:r>
      <w:r>
        <w:rPr>
          <w:rFonts w:hint="eastAsia" w:ascii="宋体" w:hAnsi="宋体" w:cs="宋体"/>
          <w:sz w:val="28"/>
          <w:szCs w:val="28"/>
        </w:rPr>
        <w:t xml:space="preserve">       </w:t>
      </w:r>
      <w:r>
        <w:rPr>
          <w:rFonts w:hint="eastAsia" w:ascii="宋体" w:hAnsi="宋体" w:cs="宋体"/>
          <w:sz w:val="28"/>
          <w:szCs w:val="28"/>
          <w:highlight w:val="none"/>
        </w:rPr>
        <w:t xml:space="preserve">   </w:t>
      </w:r>
      <w:r>
        <w:rPr>
          <w:rFonts w:hint="eastAsia" w:ascii="宋体" w:hAnsi="宋体" w:cs="宋体"/>
          <w:sz w:val="28"/>
          <w:szCs w:val="28"/>
          <w:highlight w:val="none"/>
          <w:lang w:val="en-US" w:eastAsia="zh-CN"/>
        </w:rPr>
        <w:t xml:space="preserve">    </w:t>
      </w:r>
      <w:r>
        <w:rPr>
          <w:rFonts w:hint="eastAsia" w:ascii="宋体" w:hAnsi="宋体" w:cs="宋体"/>
          <w:sz w:val="28"/>
          <w:szCs w:val="28"/>
          <w:highlight w:val="none"/>
        </w:rPr>
        <w:t>日期：二〇二六年</w:t>
      </w:r>
      <w:r>
        <w:rPr>
          <w:rFonts w:hint="eastAsia" w:ascii="宋体" w:hAnsi="宋体" w:cs="宋体"/>
          <w:sz w:val="28"/>
          <w:szCs w:val="28"/>
          <w:highlight w:val="none"/>
          <w:lang w:val="en-US" w:eastAsia="zh-CN"/>
        </w:rPr>
        <w:t>六</w:t>
      </w:r>
      <w:r>
        <w:rPr>
          <w:rFonts w:hint="eastAsia" w:ascii="宋体" w:hAnsi="宋体" w:cs="宋体"/>
          <w:sz w:val="28"/>
          <w:szCs w:val="28"/>
          <w:highlight w:val="none"/>
        </w:rPr>
        <w:t>月</w:t>
      </w:r>
      <w:r>
        <w:rPr>
          <w:rFonts w:hint="eastAsia" w:ascii="宋体" w:hAnsi="宋体" w:cs="宋体"/>
          <w:sz w:val="28"/>
          <w:szCs w:val="28"/>
          <w:highlight w:val="none"/>
          <w:lang w:val="en-US" w:eastAsia="zh-CN"/>
        </w:rPr>
        <w:t>一</w:t>
      </w:r>
      <w:r>
        <w:rPr>
          <w:rFonts w:hint="eastAsia" w:ascii="宋体" w:hAnsi="宋体" w:cs="宋体"/>
          <w:sz w:val="28"/>
          <w:szCs w:val="28"/>
          <w:highlight w:val="none"/>
        </w:rPr>
        <w:t>日</w:t>
      </w:r>
    </w:p>
    <w:p w14:paraId="216B928A">
      <w:pPr>
        <w:rPr>
          <w:rFonts w:hint="default"/>
          <w:lang w:val="en-US" w:eastAsia="zh-CN"/>
        </w:rPr>
      </w:pPr>
    </w:p>
    <w:sectPr>
      <w:footerReference r:id="rId5" w:type="first"/>
      <w:headerReference r:id="rId3" w:type="default"/>
      <w:footerReference r:id="rId4"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HiddenHorzOCl">
    <w:altName w:val="宋体"/>
    <w:panose1 w:val="00000000000000000000"/>
    <w:charset w:val="86"/>
    <w:family w:val="auto"/>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C820FF">
    <w:pPr>
      <w:pStyle w:val="6"/>
      <w:jc w:val="center"/>
    </w:pPr>
    <w:r>
      <w:fldChar w:fldCharType="begin"/>
    </w:r>
    <w:r>
      <w:instrText xml:space="preserve"> PAGE   \* MERGEFORMAT </w:instrText>
    </w:r>
    <w:r>
      <w:fldChar w:fldCharType="separate"/>
    </w:r>
    <w:r>
      <w:rPr>
        <w:lang w:val="zh-CN"/>
      </w:rPr>
      <w:t>5</w:t>
    </w:r>
    <w:r>
      <w:rPr>
        <w:lang w:val="zh-CN"/>
      </w:rPr>
      <w:fldChar w:fldCharType="end"/>
    </w:r>
  </w:p>
  <w:p w14:paraId="02E7F697">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060E2F">
    <w:pPr>
      <w:pStyle w:val="6"/>
      <w:jc w:val="center"/>
    </w:pPr>
    <w:r>
      <w:fldChar w:fldCharType="begin"/>
    </w:r>
    <w:r>
      <w:instrText xml:space="preserve"> PAGE   \* MERGEFORMAT </w:instrText>
    </w:r>
    <w:r>
      <w:fldChar w:fldCharType="separate"/>
    </w:r>
    <w:r>
      <w:rPr>
        <w:lang w:val="zh-CN"/>
      </w:rPr>
      <w:t>1</w:t>
    </w:r>
    <w:r>
      <w:rPr>
        <w:lang w:val="zh-CN"/>
      </w:rPr>
      <w:fldChar w:fldCharType="end"/>
    </w:r>
  </w:p>
  <w:p w14:paraId="7BBB8D4D">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38345">
    <w:pPr>
      <w:pStyle w:val="7"/>
      <w:pBdr>
        <w:bottom w:val="single" w:color="auto" w:sz="4" w:space="1"/>
      </w:pBdr>
    </w:pPr>
    <w:r>
      <w:rPr>
        <w:rFonts w:ascii="Calibri" w:hAnsi="Calibri" w:eastAsia="宋体" w:cs="黑体"/>
        <w:kern w:val="2"/>
        <w:sz w:val="18"/>
        <w:szCs w:val="22"/>
        <w:lang w:val="en-US" w:eastAsia="zh-CN" w:bidi="ar-SA"/>
      </w:rPr>
      <w:drawing>
        <wp:inline distT="0" distB="0" distL="114300" distR="114300">
          <wp:extent cx="1473835" cy="402590"/>
          <wp:effectExtent l="0" t="0" r="0" b="17145"/>
          <wp:docPr id="2" name="图片 1" descr="E:\0杰威备份\E盘文档\00杰威设计文件\logo\杰威造价-黑.png杰威造价-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E:\0杰威备份\E盘文档\00杰威设计文件\logo\杰威造价-黑.png杰威造价-黑"/>
                  <pic:cNvPicPr>
                    <a:picLocks noChangeAspect="1"/>
                  </pic:cNvPicPr>
                </pic:nvPicPr>
                <pic:blipFill>
                  <a:blip r:embed="rId1"/>
                  <a:stretch>
                    <a:fillRect/>
                  </a:stretch>
                </pic:blipFill>
                <pic:spPr>
                  <a:xfrm>
                    <a:off x="0" y="0"/>
                    <a:ext cx="1473835" cy="402590"/>
                  </a:xfrm>
                  <a:prstGeom prst="rect">
                    <a:avLst/>
                  </a:prstGeom>
                  <a:noFill/>
                  <a:ln>
                    <a:noFill/>
                  </a:ln>
                </pic:spPr>
              </pic:pic>
            </a:graphicData>
          </a:graphic>
        </wp:inline>
      </w:drawing>
    </w:r>
    <w:r>
      <w:rPr>
        <w:rFonts w:ascii="Calibri" w:hAnsi="Calibri" w:eastAsia="宋体" w:cs="黑体"/>
        <w:kern w:val="2"/>
        <w:sz w:val="18"/>
        <w:szCs w:val="22"/>
        <w:lang w:val="en-US" w:eastAsia="zh-CN" w:bidi="ar-SA"/>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1" name="文本框 4"/>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790B28DE">
                          <w:pPr>
                            <w:snapToGrid w:val="0"/>
                            <w:rPr>
                              <w:sz w:val="18"/>
                            </w:rPr>
                          </w:pPr>
                        </w:p>
                      </w:txbxContent>
                    </wps:txbx>
                    <wps:bodyPr vert="horz" wrap="none" lIns="0" tIns="0" rIns="0" bIns="0" anchor="t" upright="1">
                      <a:spAutoFit/>
                    </wps:bodyPr>
                  </wps:wsp>
                </a:graphicData>
              </a:graphic>
            </wp:anchor>
          </w:drawing>
        </mc:Choice>
        <mc:Fallback>
          <w:pict>
            <v:rect id="文本框 4" o:spid="_x0000_s1026" o:spt="1"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dblS0AAAAAUBAAAPAAAAAAAAAAEAIAAAACIA&#10;AABkcnMvZG93bnJldi54bWxQSwECFAAUAAAACACHTuJAxIhPDtgBAAC0AwAADgAAAAAAAAABACAA&#10;AAAfAQAAZHJzL2Uyb0RvYy54bWxQSwUGAAAAAAYABgBZAQAAaQUAAAAA&#10;">
              <v:fill on="f" focussize="0,0"/>
              <v:stroke on="f"/>
              <v:imagedata o:title=""/>
              <o:lock v:ext="edit" aspectratio="f"/>
              <v:textbox inset="0mm,0mm,0mm,0mm" style="mso-fit-shape-to-text:t;">
                <w:txbxContent>
                  <w:p w14:paraId="790B28DE">
                    <w:pPr>
                      <w:snapToGrid w:val="0"/>
                      <w:rPr>
                        <w:sz w:val="18"/>
                      </w:rPr>
                    </w:pPr>
                  </w:p>
                </w:txbxContent>
              </v:textbox>
            </v:rect>
          </w:pict>
        </mc:Fallback>
      </mc:AlternateContent>
    </w:r>
    <w:r>
      <w:rPr>
        <w:rFonts w:hint="eastAsia"/>
      </w:rPr>
      <w:t xml:space="preserve">                                             因为专注 所以专业</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E"/>
    <w:multiLevelType w:val="multilevel"/>
    <w:tmpl w:val="0000000E"/>
    <w:lvl w:ilvl="0" w:tentative="0">
      <w:start w:val="1"/>
      <w:numFmt w:val="none"/>
      <w:pStyle w:val="23"/>
      <w:lvlText w:val=""/>
      <w:lvlJc w:val="left"/>
      <w:pPr>
        <w:tabs>
          <w:tab w:val="left" w:pos="432"/>
        </w:tabs>
        <w:ind w:left="432" w:hanging="432"/>
      </w:pPr>
      <w:rPr>
        <w:rFonts w:hint="default"/>
        <w:u w:val="none" w:color="auto"/>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default"/>
        <w:u w:val="none" w:color="auto"/>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hMDQzYjAzNmU3MjQ5YWEwOTZlNGVhNmM3NmVjYmUifQ=="/>
  </w:docVars>
  <w:rsids>
    <w:rsidRoot w:val="00172A27"/>
    <w:rsid w:val="003752C8"/>
    <w:rsid w:val="00452ABF"/>
    <w:rsid w:val="00501EE6"/>
    <w:rsid w:val="00574B7A"/>
    <w:rsid w:val="00586FEC"/>
    <w:rsid w:val="00612345"/>
    <w:rsid w:val="00630FDD"/>
    <w:rsid w:val="00977B14"/>
    <w:rsid w:val="00A00C3C"/>
    <w:rsid w:val="00E940B7"/>
    <w:rsid w:val="010A29DC"/>
    <w:rsid w:val="01730582"/>
    <w:rsid w:val="019C7407"/>
    <w:rsid w:val="01A53802"/>
    <w:rsid w:val="01C05B55"/>
    <w:rsid w:val="01D0110E"/>
    <w:rsid w:val="01E00D4B"/>
    <w:rsid w:val="01E84235"/>
    <w:rsid w:val="01FB224D"/>
    <w:rsid w:val="021A6C4F"/>
    <w:rsid w:val="023B4716"/>
    <w:rsid w:val="029737F4"/>
    <w:rsid w:val="029C7664"/>
    <w:rsid w:val="02D6332F"/>
    <w:rsid w:val="02EC5CE3"/>
    <w:rsid w:val="02EF1E8A"/>
    <w:rsid w:val="03171854"/>
    <w:rsid w:val="033267B7"/>
    <w:rsid w:val="033F556D"/>
    <w:rsid w:val="035A307B"/>
    <w:rsid w:val="035F6EDA"/>
    <w:rsid w:val="036C7218"/>
    <w:rsid w:val="0371289F"/>
    <w:rsid w:val="038F4FFB"/>
    <w:rsid w:val="03905EBB"/>
    <w:rsid w:val="03993BA4"/>
    <w:rsid w:val="03B062F0"/>
    <w:rsid w:val="03CC20ED"/>
    <w:rsid w:val="03CE5F43"/>
    <w:rsid w:val="03EA08A3"/>
    <w:rsid w:val="040D00EE"/>
    <w:rsid w:val="04276E22"/>
    <w:rsid w:val="042F36E9"/>
    <w:rsid w:val="044B6487"/>
    <w:rsid w:val="04761CE5"/>
    <w:rsid w:val="04BE27AA"/>
    <w:rsid w:val="04CD19AF"/>
    <w:rsid w:val="04DC01EC"/>
    <w:rsid w:val="050F6813"/>
    <w:rsid w:val="052A64AC"/>
    <w:rsid w:val="053F12DA"/>
    <w:rsid w:val="055160AF"/>
    <w:rsid w:val="05755728"/>
    <w:rsid w:val="05801346"/>
    <w:rsid w:val="05924D4E"/>
    <w:rsid w:val="05A810E9"/>
    <w:rsid w:val="05A81FCC"/>
    <w:rsid w:val="05D0061A"/>
    <w:rsid w:val="060A6FDB"/>
    <w:rsid w:val="06145060"/>
    <w:rsid w:val="06420522"/>
    <w:rsid w:val="067867FE"/>
    <w:rsid w:val="06901352"/>
    <w:rsid w:val="06933D53"/>
    <w:rsid w:val="06C22327"/>
    <w:rsid w:val="07061550"/>
    <w:rsid w:val="07155C37"/>
    <w:rsid w:val="072440CC"/>
    <w:rsid w:val="073A744C"/>
    <w:rsid w:val="07702E6D"/>
    <w:rsid w:val="07757174"/>
    <w:rsid w:val="079B390E"/>
    <w:rsid w:val="07D043EF"/>
    <w:rsid w:val="07E502BF"/>
    <w:rsid w:val="07F2027A"/>
    <w:rsid w:val="08251814"/>
    <w:rsid w:val="0878022B"/>
    <w:rsid w:val="0898105D"/>
    <w:rsid w:val="09265ED9"/>
    <w:rsid w:val="09375F72"/>
    <w:rsid w:val="093E2B95"/>
    <w:rsid w:val="097430E9"/>
    <w:rsid w:val="09756E61"/>
    <w:rsid w:val="098470A4"/>
    <w:rsid w:val="09B2776D"/>
    <w:rsid w:val="09DF42DA"/>
    <w:rsid w:val="09E56AD2"/>
    <w:rsid w:val="0A5D5557"/>
    <w:rsid w:val="0A624DDA"/>
    <w:rsid w:val="0A726EFC"/>
    <w:rsid w:val="0ACC495D"/>
    <w:rsid w:val="0AD073A7"/>
    <w:rsid w:val="0ADB2CF4"/>
    <w:rsid w:val="0B00275A"/>
    <w:rsid w:val="0B13248D"/>
    <w:rsid w:val="0B5144FE"/>
    <w:rsid w:val="0B667934"/>
    <w:rsid w:val="0BB35A1E"/>
    <w:rsid w:val="0BB87E33"/>
    <w:rsid w:val="0BCE6439"/>
    <w:rsid w:val="0BD754B9"/>
    <w:rsid w:val="0BE15A5A"/>
    <w:rsid w:val="0BF23DF0"/>
    <w:rsid w:val="0C332643"/>
    <w:rsid w:val="0C48085D"/>
    <w:rsid w:val="0C774C9E"/>
    <w:rsid w:val="0C793650"/>
    <w:rsid w:val="0C7D0506"/>
    <w:rsid w:val="0C803B53"/>
    <w:rsid w:val="0C8F3D96"/>
    <w:rsid w:val="0CA83C71"/>
    <w:rsid w:val="0CB63A18"/>
    <w:rsid w:val="0CC02062"/>
    <w:rsid w:val="0D1C631C"/>
    <w:rsid w:val="0D246BD4"/>
    <w:rsid w:val="0D2564A8"/>
    <w:rsid w:val="0D2F4BDD"/>
    <w:rsid w:val="0D593FAF"/>
    <w:rsid w:val="0D5F0F0B"/>
    <w:rsid w:val="0D6B6C8E"/>
    <w:rsid w:val="0D6D1FAA"/>
    <w:rsid w:val="0D9773A6"/>
    <w:rsid w:val="0DA97ACB"/>
    <w:rsid w:val="0DF742E8"/>
    <w:rsid w:val="0E3610B8"/>
    <w:rsid w:val="0E390F4F"/>
    <w:rsid w:val="0E4F1A2E"/>
    <w:rsid w:val="0E6179B4"/>
    <w:rsid w:val="0E7B1D5B"/>
    <w:rsid w:val="0E9733D5"/>
    <w:rsid w:val="0EAC0C2F"/>
    <w:rsid w:val="0ECB2FB1"/>
    <w:rsid w:val="0ED67054"/>
    <w:rsid w:val="0F046CBD"/>
    <w:rsid w:val="0F2970AA"/>
    <w:rsid w:val="0F306838"/>
    <w:rsid w:val="0F563291"/>
    <w:rsid w:val="0F5E439A"/>
    <w:rsid w:val="0F8C6CB2"/>
    <w:rsid w:val="0F9D2461"/>
    <w:rsid w:val="0F9F2542"/>
    <w:rsid w:val="0FBB02B2"/>
    <w:rsid w:val="0FBF7C32"/>
    <w:rsid w:val="0FC1442A"/>
    <w:rsid w:val="0FC401FA"/>
    <w:rsid w:val="0FD61CDB"/>
    <w:rsid w:val="0FD81622"/>
    <w:rsid w:val="0FE520BF"/>
    <w:rsid w:val="0FEF4BF0"/>
    <w:rsid w:val="10041747"/>
    <w:rsid w:val="10482BD9"/>
    <w:rsid w:val="105477D0"/>
    <w:rsid w:val="10E34671"/>
    <w:rsid w:val="10F7157C"/>
    <w:rsid w:val="10F77E82"/>
    <w:rsid w:val="112C24FB"/>
    <w:rsid w:val="11407D54"/>
    <w:rsid w:val="118279E1"/>
    <w:rsid w:val="11851C0B"/>
    <w:rsid w:val="119F0F1F"/>
    <w:rsid w:val="11BB73DB"/>
    <w:rsid w:val="11CA40A7"/>
    <w:rsid w:val="11EA0F15"/>
    <w:rsid w:val="11EE5A02"/>
    <w:rsid w:val="120F67EA"/>
    <w:rsid w:val="121A3347"/>
    <w:rsid w:val="12382118"/>
    <w:rsid w:val="125D0965"/>
    <w:rsid w:val="126F6B43"/>
    <w:rsid w:val="12840808"/>
    <w:rsid w:val="129A1D89"/>
    <w:rsid w:val="12B91B6C"/>
    <w:rsid w:val="12D22CF4"/>
    <w:rsid w:val="12E84200"/>
    <w:rsid w:val="135224D0"/>
    <w:rsid w:val="13530079"/>
    <w:rsid w:val="135711DF"/>
    <w:rsid w:val="136C40DE"/>
    <w:rsid w:val="136E70D0"/>
    <w:rsid w:val="1376180B"/>
    <w:rsid w:val="13AE3F9B"/>
    <w:rsid w:val="13C54541"/>
    <w:rsid w:val="13CA1B57"/>
    <w:rsid w:val="13D03A06"/>
    <w:rsid w:val="13D824C6"/>
    <w:rsid w:val="13D853C7"/>
    <w:rsid w:val="14094DED"/>
    <w:rsid w:val="1410023B"/>
    <w:rsid w:val="142B4CEC"/>
    <w:rsid w:val="144813FA"/>
    <w:rsid w:val="145F6743"/>
    <w:rsid w:val="149D2E14"/>
    <w:rsid w:val="14A87111"/>
    <w:rsid w:val="14AF76CB"/>
    <w:rsid w:val="14E8498B"/>
    <w:rsid w:val="14E9009B"/>
    <w:rsid w:val="15023C9F"/>
    <w:rsid w:val="151501EB"/>
    <w:rsid w:val="152D05F0"/>
    <w:rsid w:val="15425A77"/>
    <w:rsid w:val="160118AE"/>
    <w:rsid w:val="161D2D34"/>
    <w:rsid w:val="163C6D3C"/>
    <w:rsid w:val="16443E43"/>
    <w:rsid w:val="169E17A5"/>
    <w:rsid w:val="16D23A94"/>
    <w:rsid w:val="17283764"/>
    <w:rsid w:val="17465311"/>
    <w:rsid w:val="17620D22"/>
    <w:rsid w:val="178276B6"/>
    <w:rsid w:val="17982698"/>
    <w:rsid w:val="17C67B54"/>
    <w:rsid w:val="17D86F39"/>
    <w:rsid w:val="17E01949"/>
    <w:rsid w:val="17EF7DDE"/>
    <w:rsid w:val="186560C8"/>
    <w:rsid w:val="187B519E"/>
    <w:rsid w:val="18950986"/>
    <w:rsid w:val="18DF0779"/>
    <w:rsid w:val="19193365"/>
    <w:rsid w:val="19287A4C"/>
    <w:rsid w:val="19295D84"/>
    <w:rsid w:val="19306900"/>
    <w:rsid w:val="193B17EB"/>
    <w:rsid w:val="194F6D87"/>
    <w:rsid w:val="19671033"/>
    <w:rsid w:val="196F567B"/>
    <w:rsid w:val="19C94196"/>
    <w:rsid w:val="19CA465F"/>
    <w:rsid w:val="19D44EA1"/>
    <w:rsid w:val="19F5487B"/>
    <w:rsid w:val="19FF0C19"/>
    <w:rsid w:val="1A044015"/>
    <w:rsid w:val="1A996FC3"/>
    <w:rsid w:val="1AB175CD"/>
    <w:rsid w:val="1AE45BF4"/>
    <w:rsid w:val="1AEC4259"/>
    <w:rsid w:val="1B1652C3"/>
    <w:rsid w:val="1B1E3597"/>
    <w:rsid w:val="1B24506A"/>
    <w:rsid w:val="1B312D4C"/>
    <w:rsid w:val="1B402872"/>
    <w:rsid w:val="1B571591"/>
    <w:rsid w:val="1B634A7D"/>
    <w:rsid w:val="1B8F790E"/>
    <w:rsid w:val="1B927C9C"/>
    <w:rsid w:val="1BBD091F"/>
    <w:rsid w:val="1C0F050C"/>
    <w:rsid w:val="1C2A7637"/>
    <w:rsid w:val="1C47643B"/>
    <w:rsid w:val="1C5823F6"/>
    <w:rsid w:val="1C673BFD"/>
    <w:rsid w:val="1CB737CB"/>
    <w:rsid w:val="1CD04682"/>
    <w:rsid w:val="1CD263FC"/>
    <w:rsid w:val="1CD26487"/>
    <w:rsid w:val="1CDC624B"/>
    <w:rsid w:val="1CDD6D9F"/>
    <w:rsid w:val="1CE27F12"/>
    <w:rsid w:val="1D02347B"/>
    <w:rsid w:val="1D035828"/>
    <w:rsid w:val="1D085BCA"/>
    <w:rsid w:val="1D4C7976"/>
    <w:rsid w:val="1D573933"/>
    <w:rsid w:val="1D5A03F0"/>
    <w:rsid w:val="1D953B5F"/>
    <w:rsid w:val="1DA042FF"/>
    <w:rsid w:val="1DB3380B"/>
    <w:rsid w:val="1DC37D43"/>
    <w:rsid w:val="1DC67833"/>
    <w:rsid w:val="1E0F4D36"/>
    <w:rsid w:val="1E341264"/>
    <w:rsid w:val="1E4744D0"/>
    <w:rsid w:val="1E597AE7"/>
    <w:rsid w:val="1E5C605C"/>
    <w:rsid w:val="1E7B061E"/>
    <w:rsid w:val="1E8E3D32"/>
    <w:rsid w:val="1EA60626"/>
    <w:rsid w:val="1EB53FBD"/>
    <w:rsid w:val="1ECF44C6"/>
    <w:rsid w:val="1ED63AA6"/>
    <w:rsid w:val="1ED846B7"/>
    <w:rsid w:val="1EEB234E"/>
    <w:rsid w:val="1EF67CA4"/>
    <w:rsid w:val="1F1840BF"/>
    <w:rsid w:val="1F212F73"/>
    <w:rsid w:val="1F38206B"/>
    <w:rsid w:val="1F3D3B25"/>
    <w:rsid w:val="1FBB4B9E"/>
    <w:rsid w:val="1FBE6A14"/>
    <w:rsid w:val="1FE04BDC"/>
    <w:rsid w:val="1FE8583F"/>
    <w:rsid w:val="1FF311D3"/>
    <w:rsid w:val="20246B5C"/>
    <w:rsid w:val="202D1D4F"/>
    <w:rsid w:val="205250B4"/>
    <w:rsid w:val="207627C4"/>
    <w:rsid w:val="20795A06"/>
    <w:rsid w:val="20B44B0A"/>
    <w:rsid w:val="20EF5C1C"/>
    <w:rsid w:val="20FF1092"/>
    <w:rsid w:val="21326DC0"/>
    <w:rsid w:val="21F5377F"/>
    <w:rsid w:val="21FA5CFD"/>
    <w:rsid w:val="221768AF"/>
    <w:rsid w:val="22244B28"/>
    <w:rsid w:val="222D1C2F"/>
    <w:rsid w:val="2234120F"/>
    <w:rsid w:val="223B07F0"/>
    <w:rsid w:val="224624A0"/>
    <w:rsid w:val="22970B5E"/>
    <w:rsid w:val="22DD5403"/>
    <w:rsid w:val="22EB3FC4"/>
    <w:rsid w:val="2323171B"/>
    <w:rsid w:val="23AB0C6E"/>
    <w:rsid w:val="23B0661C"/>
    <w:rsid w:val="23C10717"/>
    <w:rsid w:val="23E97DD8"/>
    <w:rsid w:val="23F57AC9"/>
    <w:rsid w:val="23FA2BD5"/>
    <w:rsid w:val="24191418"/>
    <w:rsid w:val="243D0DAE"/>
    <w:rsid w:val="24485619"/>
    <w:rsid w:val="24766F49"/>
    <w:rsid w:val="24795D6D"/>
    <w:rsid w:val="2497095D"/>
    <w:rsid w:val="24A113A8"/>
    <w:rsid w:val="24A203F1"/>
    <w:rsid w:val="251D663C"/>
    <w:rsid w:val="252044FE"/>
    <w:rsid w:val="25257535"/>
    <w:rsid w:val="253B28B5"/>
    <w:rsid w:val="253F5E2C"/>
    <w:rsid w:val="25445C0D"/>
    <w:rsid w:val="25563F3C"/>
    <w:rsid w:val="25A513E7"/>
    <w:rsid w:val="25C1553A"/>
    <w:rsid w:val="25E21729"/>
    <w:rsid w:val="25F27417"/>
    <w:rsid w:val="26955FF5"/>
    <w:rsid w:val="26C10F95"/>
    <w:rsid w:val="26CA2142"/>
    <w:rsid w:val="26CD578F"/>
    <w:rsid w:val="26D13C59"/>
    <w:rsid w:val="26D15943"/>
    <w:rsid w:val="27275757"/>
    <w:rsid w:val="27402404"/>
    <w:rsid w:val="27582476"/>
    <w:rsid w:val="27606603"/>
    <w:rsid w:val="277420AE"/>
    <w:rsid w:val="277C29FC"/>
    <w:rsid w:val="27937BB8"/>
    <w:rsid w:val="27BF77CD"/>
    <w:rsid w:val="282D2989"/>
    <w:rsid w:val="286B1703"/>
    <w:rsid w:val="28893937"/>
    <w:rsid w:val="288F561C"/>
    <w:rsid w:val="28A77E88"/>
    <w:rsid w:val="28AA222B"/>
    <w:rsid w:val="28E55011"/>
    <w:rsid w:val="28E61296"/>
    <w:rsid w:val="29220014"/>
    <w:rsid w:val="292875F4"/>
    <w:rsid w:val="296A2AC9"/>
    <w:rsid w:val="29752839"/>
    <w:rsid w:val="2976210D"/>
    <w:rsid w:val="298F2DBD"/>
    <w:rsid w:val="29954C89"/>
    <w:rsid w:val="299F08F1"/>
    <w:rsid w:val="29A0718A"/>
    <w:rsid w:val="29B50E88"/>
    <w:rsid w:val="29E03A2B"/>
    <w:rsid w:val="29E93F6E"/>
    <w:rsid w:val="29F01EC0"/>
    <w:rsid w:val="29F51284"/>
    <w:rsid w:val="29F55728"/>
    <w:rsid w:val="2A0E3BFE"/>
    <w:rsid w:val="2A2474D0"/>
    <w:rsid w:val="2A44045E"/>
    <w:rsid w:val="2A813606"/>
    <w:rsid w:val="2A8476E7"/>
    <w:rsid w:val="2AD6555A"/>
    <w:rsid w:val="2B0674C1"/>
    <w:rsid w:val="2B1B3AE9"/>
    <w:rsid w:val="2B4C4DE0"/>
    <w:rsid w:val="2B795EE5"/>
    <w:rsid w:val="2BBB474F"/>
    <w:rsid w:val="2BBD09C3"/>
    <w:rsid w:val="2BC545B1"/>
    <w:rsid w:val="2BD170DC"/>
    <w:rsid w:val="2BE9306B"/>
    <w:rsid w:val="2BFA7F08"/>
    <w:rsid w:val="2BFF5E2E"/>
    <w:rsid w:val="2C283D5E"/>
    <w:rsid w:val="2C3F2C8B"/>
    <w:rsid w:val="2C912BFB"/>
    <w:rsid w:val="2C9B4286"/>
    <w:rsid w:val="2CD23AFF"/>
    <w:rsid w:val="2CE96C0C"/>
    <w:rsid w:val="2D0E4A57"/>
    <w:rsid w:val="2D0F4D53"/>
    <w:rsid w:val="2D597D7C"/>
    <w:rsid w:val="2D6D7CCB"/>
    <w:rsid w:val="2DA37F14"/>
    <w:rsid w:val="2DA52FC1"/>
    <w:rsid w:val="2DA76D39"/>
    <w:rsid w:val="2DAA316E"/>
    <w:rsid w:val="2DF45CF7"/>
    <w:rsid w:val="2DFB52D7"/>
    <w:rsid w:val="2DFD3F20"/>
    <w:rsid w:val="2E124D17"/>
    <w:rsid w:val="2E927049"/>
    <w:rsid w:val="2E951288"/>
    <w:rsid w:val="2EB7284B"/>
    <w:rsid w:val="2EC35DF5"/>
    <w:rsid w:val="2EC95A6A"/>
    <w:rsid w:val="2ECA14F2"/>
    <w:rsid w:val="2EEB0EA8"/>
    <w:rsid w:val="2F0401BB"/>
    <w:rsid w:val="2F1E302B"/>
    <w:rsid w:val="2F3445FD"/>
    <w:rsid w:val="2FAE172F"/>
    <w:rsid w:val="2FB020DD"/>
    <w:rsid w:val="2FE57FED"/>
    <w:rsid w:val="30077F63"/>
    <w:rsid w:val="300D1329"/>
    <w:rsid w:val="301C6BCC"/>
    <w:rsid w:val="30274348"/>
    <w:rsid w:val="3029612C"/>
    <w:rsid w:val="305F60E4"/>
    <w:rsid w:val="309A2B85"/>
    <w:rsid w:val="30A50AAF"/>
    <w:rsid w:val="30B50654"/>
    <w:rsid w:val="30B81375"/>
    <w:rsid w:val="30EF2A00"/>
    <w:rsid w:val="317C04DD"/>
    <w:rsid w:val="3187719B"/>
    <w:rsid w:val="31A0241D"/>
    <w:rsid w:val="31C12394"/>
    <w:rsid w:val="31D63CDE"/>
    <w:rsid w:val="31E56082"/>
    <w:rsid w:val="31EC5751"/>
    <w:rsid w:val="322272D6"/>
    <w:rsid w:val="32335040"/>
    <w:rsid w:val="327F507A"/>
    <w:rsid w:val="32B67A1F"/>
    <w:rsid w:val="32DC7485"/>
    <w:rsid w:val="32EE26D7"/>
    <w:rsid w:val="32F838FA"/>
    <w:rsid w:val="33095DA0"/>
    <w:rsid w:val="331210F9"/>
    <w:rsid w:val="332E2385"/>
    <w:rsid w:val="33472206"/>
    <w:rsid w:val="337376BE"/>
    <w:rsid w:val="33DB6D92"/>
    <w:rsid w:val="33EE7825"/>
    <w:rsid w:val="34300773"/>
    <w:rsid w:val="3434509F"/>
    <w:rsid w:val="34757B91"/>
    <w:rsid w:val="3485553C"/>
    <w:rsid w:val="3491604D"/>
    <w:rsid w:val="349F0D90"/>
    <w:rsid w:val="34B62E02"/>
    <w:rsid w:val="34CC177B"/>
    <w:rsid w:val="34FD1935"/>
    <w:rsid w:val="35166BEA"/>
    <w:rsid w:val="35436506"/>
    <w:rsid w:val="354F2247"/>
    <w:rsid w:val="358838F4"/>
    <w:rsid w:val="358D3A26"/>
    <w:rsid w:val="359E6C74"/>
    <w:rsid w:val="35D11CA7"/>
    <w:rsid w:val="35FB1828"/>
    <w:rsid w:val="363F3249"/>
    <w:rsid w:val="36463057"/>
    <w:rsid w:val="36470002"/>
    <w:rsid w:val="36687282"/>
    <w:rsid w:val="36745C27"/>
    <w:rsid w:val="36855C62"/>
    <w:rsid w:val="36901B93"/>
    <w:rsid w:val="36CC4CAC"/>
    <w:rsid w:val="36E31FF3"/>
    <w:rsid w:val="372F1581"/>
    <w:rsid w:val="373D070E"/>
    <w:rsid w:val="378123A9"/>
    <w:rsid w:val="37950B79"/>
    <w:rsid w:val="37A05173"/>
    <w:rsid w:val="37A13D8B"/>
    <w:rsid w:val="37A4253C"/>
    <w:rsid w:val="37DB688A"/>
    <w:rsid w:val="38143DD3"/>
    <w:rsid w:val="382611A3"/>
    <w:rsid w:val="387177C9"/>
    <w:rsid w:val="38867244"/>
    <w:rsid w:val="38A45410"/>
    <w:rsid w:val="38BB7B3D"/>
    <w:rsid w:val="38BF63D7"/>
    <w:rsid w:val="38D0032C"/>
    <w:rsid w:val="38F4541E"/>
    <w:rsid w:val="390E5F29"/>
    <w:rsid w:val="39333DDD"/>
    <w:rsid w:val="393C7940"/>
    <w:rsid w:val="39602492"/>
    <w:rsid w:val="396E793D"/>
    <w:rsid w:val="399622BF"/>
    <w:rsid w:val="399A1E48"/>
    <w:rsid w:val="39E83924"/>
    <w:rsid w:val="39FE3845"/>
    <w:rsid w:val="3A010DFB"/>
    <w:rsid w:val="3A091B69"/>
    <w:rsid w:val="3A1219DE"/>
    <w:rsid w:val="3A134C08"/>
    <w:rsid w:val="3A2636DC"/>
    <w:rsid w:val="3A6F0BDF"/>
    <w:rsid w:val="3A727D54"/>
    <w:rsid w:val="3A7361DF"/>
    <w:rsid w:val="3A836CD3"/>
    <w:rsid w:val="3ADF617B"/>
    <w:rsid w:val="3AED33A6"/>
    <w:rsid w:val="3AF021FC"/>
    <w:rsid w:val="3AF15A98"/>
    <w:rsid w:val="3AF61300"/>
    <w:rsid w:val="3B455DE4"/>
    <w:rsid w:val="3B765F9D"/>
    <w:rsid w:val="3B844F4B"/>
    <w:rsid w:val="3BCC4D70"/>
    <w:rsid w:val="3BD30ECF"/>
    <w:rsid w:val="3BEC2EF6"/>
    <w:rsid w:val="3BFF2436"/>
    <w:rsid w:val="3C1F6793"/>
    <w:rsid w:val="3C2123AD"/>
    <w:rsid w:val="3C221C81"/>
    <w:rsid w:val="3C506853"/>
    <w:rsid w:val="3C700400"/>
    <w:rsid w:val="3C753CB7"/>
    <w:rsid w:val="3C9844FD"/>
    <w:rsid w:val="3C9D17F2"/>
    <w:rsid w:val="3CAF5A62"/>
    <w:rsid w:val="3CD45671"/>
    <w:rsid w:val="3CEF7392"/>
    <w:rsid w:val="3D217848"/>
    <w:rsid w:val="3D36122A"/>
    <w:rsid w:val="3D581DFE"/>
    <w:rsid w:val="3D823311"/>
    <w:rsid w:val="3D871394"/>
    <w:rsid w:val="3DA903A4"/>
    <w:rsid w:val="3DAF6448"/>
    <w:rsid w:val="3DC13BF9"/>
    <w:rsid w:val="3DD06417"/>
    <w:rsid w:val="3DD11BB1"/>
    <w:rsid w:val="3DE9514C"/>
    <w:rsid w:val="3E1965FE"/>
    <w:rsid w:val="3E3F6B1A"/>
    <w:rsid w:val="3E6415B0"/>
    <w:rsid w:val="3E646581"/>
    <w:rsid w:val="3EB07A18"/>
    <w:rsid w:val="3EC111A5"/>
    <w:rsid w:val="3ECB4852"/>
    <w:rsid w:val="3EE651E8"/>
    <w:rsid w:val="3F383D15"/>
    <w:rsid w:val="3F3E1E72"/>
    <w:rsid w:val="3FAA79D7"/>
    <w:rsid w:val="3FD339BE"/>
    <w:rsid w:val="3FE61943"/>
    <w:rsid w:val="3FF81676"/>
    <w:rsid w:val="40006DDD"/>
    <w:rsid w:val="400B75E7"/>
    <w:rsid w:val="40204729"/>
    <w:rsid w:val="4024421A"/>
    <w:rsid w:val="402C53E6"/>
    <w:rsid w:val="40583EC3"/>
    <w:rsid w:val="40613C86"/>
    <w:rsid w:val="406F3C30"/>
    <w:rsid w:val="40703903"/>
    <w:rsid w:val="40EE6498"/>
    <w:rsid w:val="412B15D8"/>
    <w:rsid w:val="413C724B"/>
    <w:rsid w:val="414475F4"/>
    <w:rsid w:val="41483B0D"/>
    <w:rsid w:val="41600155"/>
    <w:rsid w:val="417E5BAB"/>
    <w:rsid w:val="41940E65"/>
    <w:rsid w:val="41A8315F"/>
    <w:rsid w:val="41D86321"/>
    <w:rsid w:val="41FF6CEC"/>
    <w:rsid w:val="420C31B7"/>
    <w:rsid w:val="4214206C"/>
    <w:rsid w:val="42257395"/>
    <w:rsid w:val="423170C2"/>
    <w:rsid w:val="42517A58"/>
    <w:rsid w:val="42784A7F"/>
    <w:rsid w:val="428611BC"/>
    <w:rsid w:val="42892A5A"/>
    <w:rsid w:val="428B67D2"/>
    <w:rsid w:val="42A35641"/>
    <w:rsid w:val="42AF1CC4"/>
    <w:rsid w:val="42B555FD"/>
    <w:rsid w:val="42C75BFA"/>
    <w:rsid w:val="42C8490A"/>
    <w:rsid w:val="42D068DB"/>
    <w:rsid w:val="42F35F2F"/>
    <w:rsid w:val="42FF1B3E"/>
    <w:rsid w:val="43060332"/>
    <w:rsid w:val="430B533A"/>
    <w:rsid w:val="431247FD"/>
    <w:rsid w:val="43605C07"/>
    <w:rsid w:val="43776D56"/>
    <w:rsid w:val="439B0C97"/>
    <w:rsid w:val="43A60D0F"/>
    <w:rsid w:val="43AE2404"/>
    <w:rsid w:val="43B65AD0"/>
    <w:rsid w:val="43B859E4"/>
    <w:rsid w:val="43BE6733"/>
    <w:rsid w:val="43E048FB"/>
    <w:rsid w:val="43E563C8"/>
    <w:rsid w:val="43F7774B"/>
    <w:rsid w:val="44042CA2"/>
    <w:rsid w:val="440920A4"/>
    <w:rsid w:val="442126D3"/>
    <w:rsid w:val="444D46BD"/>
    <w:rsid w:val="447F380F"/>
    <w:rsid w:val="447F4114"/>
    <w:rsid w:val="44895D9F"/>
    <w:rsid w:val="44971A30"/>
    <w:rsid w:val="45234D16"/>
    <w:rsid w:val="45782E64"/>
    <w:rsid w:val="4594672A"/>
    <w:rsid w:val="459B31D0"/>
    <w:rsid w:val="45B1127B"/>
    <w:rsid w:val="45C72E2D"/>
    <w:rsid w:val="45C75D73"/>
    <w:rsid w:val="45EC7B17"/>
    <w:rsid w:val="45F11042"/>
    <w:rsid w:val="46003033"/>
    <w:rsid w:val="46007949"/>
    <w:rsid w:val="46081EE8"/>
    <w:rsid w:val="46256F3D"/>
    <w:rsid w:val="46426147"/>
    <w:rsid w:val="46537607"/>
    <w:rsid w:val="466F1F67"/>
    <w:rsid w:val="46786A1A"/>
    <w:rsid w:val="46AD740B"/>
    <w:rsid w:val="46B22A95"/>
    <w:rsid w:val="46B53E1D"/>
    <w:rsid w:val="46EE3CAE"/>
    <w:rsid w:val="46FB49D1"/>
    <w:rsid w:val="471118B3"/>
    <w:rsid w:val="4716565B"/>
    <w:rsid w:val="47431429"/>
    <w:rsid w:val="47446E38"/>
    <w:rsid w:val="476A2E5A"/>
    <w:rsid w:val="476B0980"/>
    <w:rsid w:val="47727F60"/>
    <w:rsid w:val="479B1265"/>
    <w:rsid w:val="47A85730"/>
    <w:rsid w:val="47DC17E4"/>
    <w:rsid w:val="481E3C44"/>
    <w:rsid w:val="48366F18"/>
    <w:rsid w:val="484943B9"/>
    <w:rsid w:val="486744B3"/>
    <w:rsid w:val="487B35AA"/>
    <w:rsid w:val="4884619D"/>
    <w:rsid w:val="48FB5D34"/>
    <w:rsid w:val="49030A61"/>
    <w:rsid w:val="49060590"/>
    <w:rsid w:val="492139EC"/>
    <w:rsid w:val="49366E75"/>
    <w:rsid w:val="4944590D"/>
    <w:rsid w:val="495174CE"/>
    <w:rsid w:val="495668B4"/>
    <w:rsid w:val="495B63FE"/>
    <w:rsid w:val="49853DFA"/>
    <w:rsid w:val="498C0A30"/>
    <w:rsid w:val="49905EE2"/>
    <w:rsid w:val="49952060"/>
    <w:rsid w:val="499618FC"/>
    <w:rsid w:val="49B44860"/>
    <w:rsid w:val="49E36EF3"/>
    <w:rsid w:val="4A157BE7"/>
    <w:rsid w:val="4A2A2D74"/>
    <w:rsid w:val="4A423B94"/>
    <w:rsid w:val="4AD14F9E"/>
    <w:rsid w:val="4ADB7BCB"/>
    <w:rsid w:val="4B0B733F"/>
    <w:rsid w:val="4B125CE2"/>
    <w:rsid w:val="4B27046C"/>
    <w:rsid w:val="4B773D97"/>
    <w:rsid w:val="4BA40904"/>
    <w:rsid w:val="4BAA6792"/>
    <w:rsid w:val="4BB24DCF"/>
    <w:rsid w:val="4BD72A88"/>
    <w:rsid w:val="4BDA4A73"/>
    <w:rsid w:val="4BDC5DDB"/>
    <w:rsid w:val="4C1708CA"/>
    <w:rsid w:val="4C32317D"/>
    <w:rsid w:val="4C3457E4"/>
    <w:rsid w:val="4C46595C"/>
    <w:rsid w:val="4C7652AF"/>
    <w:rsid w:val="4C944B3A"/>
    <w:rsid w:val="4CA503D4"/>
    <w:rsid w:val="4CB701C3"/>
    <w:rsid w:val="4CB93F3C"/>
    <w:rsid w:val="4CCC1EC1"/>
    <w:rsid w:val="4CD431F4"/>
    <w:rsid w:val="4CE03C18"/>
    <w:rsid w:val="4CFB367D"/>
    <w:rsid w:val="4CFF2ECF"/>
    <w:rsid w:val="4D437A43"/>
    <w:rsid w:val="4D5C1497"/>
    <w:rsid w:val="4D695C2A"/>
    <w:rsid w:val="4D6B792C"/>
    <w:rsid w:val="4D6F4CA3"/>
    <w:rsid w:val="4D752558"/>
    <w:rsid w:val="4E200716"/>
    <w:rsid w:val="4E2D698F"/>
    <w:rsid w:val="4E37780E"/>
    <w:rsid w:val="4E38392C"/>
    <w:rsid w:val="4E3C2E4E"/>
    <w:rsid w:val="4E433D85"/>
    <w:rsid w:val="4E9133C2"/>
    <w:rsid w:val="4EB42C0C"/>
    <w:rsid w:val="4EBA1A5B"/>
    <w:rsid w:val="4EBD5F65"/>
    <w:rsid w:val="4F8B56E1"/>
    <w:rsid w:val="4F9842DC"/>
    <w:rsid w:val="4FE13ED5"/>
    <w:rsid w:val="50264DC9"/>
    <w:rsid w:val="502F2E92"/>
    <w:rsid w:val="503B7800"/>
    <w:rsid w:val="50630D8E"/>
    <w:rsid w:val="50661509"/>
    <w:rsid w:val="508B6E15"/>
    <w:rsid w:val="509176A9"/>
    <w:rsid w:val="50AB003F"/>
    <w:rsid w:val="50AB6F13"/>
    <w:rsid w:val="50D15CF8"/>
    <w:rsid w:val="50E95573"/>
    <w:rsid w:val="50FB5D7D"/>
    <w:rsid w:val="51053BF3"/>
    <w:rsid w:val="5133250E"/>
    <w:rsid w:val="51624BA2"/>
    <w:rsid w:val="519F1952"/>
    <w:rsid w:val="519F200A"/>
    <w:rsid w:val="51A737A6"/>
    <w:rsid w:val="51B66C9C"/>
    <w:rsid w:val="51D23C0D"/>
    <w:rsid w:val="51E54A27"/>
    <w:rsid w:val="51E90E1F"/>
    <w:rsid w:val="51ED5245"/>
    <w:rsid w:val="52015899"/>
    <w:rsid w:val="52045C59"/>
    <w:rsid w:val="521D01FB"/>
    <w:rsid w:val="527253A5"/>
    <w:rsid w:val="52780E74"/>
    <w:rsid w:val="529554C1"/>
    <w:rsid w:val="529A65BD"/>
    <w:rsid w:val="52BC6534"/>
    <w:rsid w:val="52C95067"/>
    <w:rsid w:val="534F4D80"/>
    <w:rsid w:val="539F3450"/>
    <w:rsid w:val="53BD6A07"/>
    <w:rsid w:val="53D90F21"/>
    <w:rsid w:val="53E248A5"/>
    <w:rsid w:val="54036DBC"/>
    <w:rsid w:val="540E341C"/>
    <w:rsid w:val="543D36A4"/>
    <w:rsid w:val="54554DB8"/>
    <w:rsid w:val="5457691F"/>
    <w:rsid w:val="5490360B"/>
    <w:rsid w:val="549D4CFC"/>
    <w:rsid w:val="549E77B1"/>
    <w:rsid w:val="55067F3A"/>
    <w:rsid w:val="554711D4"/>
    <w:rsid w:val="55501194"/>
    <w:rsid w:val="555C2E5E"/>
    <w:rsid w:val="556829A3"/>
    <w:rsid w:val="55682C48"/>
    <w:rsid w:val="55B47996"/>
    <w:rsid w:val="55E81465"/>
    <w:rsid w:val="56096438"/>
    <w:rsid w:val="56186D98"/>
    <w:rsid w:val="5619433F"/>
    <w:rsid w:val="5629204B"/>
    <w:rsid w:val="563B5030"/>
    <w:rsid w:val="56BC11BC"/>
    <w:rsid w:val="56CC253C"/>
    <w:rsid w:val="56D070E5"/>
    <w:rsid w:val="56F4369F"/>
    <w:rsid w:val="5701508B"/>
    <w:rsid w:val="57073877"/>
    <w:rsid w:val="5708469B"/>
    <w:rsid w:val="573A7DC4"/>
    <w:rsid w:val="576F0018"/>
    <w:rsid w:val="57797857"/>
    <w:rsid w:val="57811AFA"/>
    <w:rsid w:val="57A60226"/>
    <w:rsid w:val="57B0159C"/>
    <w:rsid w:val="57C55E8A"/>
    <w:rsid w:val="57F87881"/>
    <w:rsid w:val="58165683"/>
    <w:rsid w:val="583D57F2"/>
    <w:rsid w:val="58532A9E"/>
    <w:rsid w:val="587D7422"/>
    <w:rsid w:val="588E2720"/>
    <w:rsid w:val="58A81A34"/>
    <w:rsid w:val="58EA3F45"/>
    <w:rsid w:val="58EF755C"/>
    <w:rsid w:val="59205A6E"/>
    <w:rsid w:val="59457283"/>
    <w:rsid w:val="59477CF1"/>
    <w:rsid w:val="594B23BF"/>
    <w:rsid w:val="596C51D2"/>
    <w:rsid w:val="599478CF"/>
    <w:rsid w:val="59E940B2"/>
    <w:rsid w:val="59FA62BF"/>
    <w:rsid w:val="5A1B41B8"/>
    <w:rsid w:val="5A6C6A91"/>
    <w:rsid w:val="5A820063"/>
    <w:rsid w:val="5AA83787"/>
    <w:rsid w:val="5AA91A93"/>
    <w:rsid w:val="5ABD553F"/>
    <w:rsid w:val="5AC80968"/>
    <w:rsid w:val="5B0D1717"/>
    <w:rsid w:val="5B314599"/>
    <w:rsid w:val="5B3255C2"/>
    <w:rsid w:val="5B3F7D02"/>
    <w:rsid w:val="5B61371D"/>
    <w:rsid w:val="5B8A71CF"/>
    <w:rsid w:val="5BA30291"/>
    <w:rsid w:val="5BCE3D75"/>
    <w:rsid w:val="5BED3C02"/>
    <w:rsid w:val="5BF61BDB"/>
    <w:rsid w:val="5BFB1E7B"/>
    <w:rsid w:val="5BFC5BF3"/>
    <w:rsid w:val="5C156E5E"/>
    <w:rsid w:val="5C1817DA"/>
    <w:rsid w:val="5C3D51BA"/>
    <w:rsid w:val="5C410197"/>
    <w:rsid w:val="5C5264E7"/>
    <w:rsid w:val="5C5B500F"/>
    <w:rsid w:val="5C6F24A4"/>
    <w:rsid w:val="5C7D31D8"/>
    <w:rsid w:val="5C8314DB"/>
    <w:rsid w:val="5C86262D"/>
    <w:rsid w:val="5CD10E2D"/>
    <w:rsid w:val="5CE15BFB"/>
    <w:rsid w:val="5CF94044"/>
    <w:rsid w:val="5D014648"/>
    <w:rsid w:val="5D215911"/>
    <w:rsid w:val="5D270949"/>
    <w:rsid w:val="5D471C0E"/>
    <w:rsid w:val="5D6B3030"/>
    <w:rsid w:val="5D8A0B27"/>
    <w:rsid w:val="5D936618"/>
    <w:rsid w:val="5DB9023F"/>
    <w:rsid w:val="5DC170F4"/>
    <w:rsid w:val="5DF212CB"/>
    <w:rsid w:val="5E0A2849"/>
    <w:rsid w:val="5E186EB0"/>
    <w:rsid w:val="5E2A2EEB"/>
    <w:rsid w:val="5E420235"/>
    <w:rsid w:val="5E447C91"/>
    <w:rsid w:val="5E5341F0"/>
    <w:rsid w:val="5E564407"/>
    <w:rsid w:val="5E914D18"/>
    <w:rsid w:val="5EB45452"/>
    <w:rsid w:val="5EF30174"/>
    <w:rsid w:val="5F1020E1"/>
    <w:rsid w:val="5F13718C"/>
    <w:rsid w:val="5F1514A5"/>
    <w:rsid w:val="5F2942D9"/>
    <w:rsid w:val="5F3062DF"/>
    <w:rsid w:val="5F447FDD"/>
    <w:rsid w:val="5F4E6749"/>
    <w:rsid w:val="5F587469"/>
    <w:rsid w:val="5F71212B"/>
    <w:rsid w:val="5FA34D03"/>
    <w:rsid w:val="5FC8476A"/>
    <w:rsid w:val="601406FF"/>
    <w:rsid w:val="60387971"/>
    <w:rsid w:val="606049A2"/>
    <w:rsid w:val="60725A75"/>
    <w:rsid w:val="607B4C36"/>
    <w:rsid w:val="607E62D8"/>
    <w:rsid w:val="608D150F"/>
    <w:rsid w:val="60E2116F"/>
    <w:rsid w:val="60EC6236"/>
    <w:rsid w:val="60F4333C"/>
    <w:rsid w:val="61113EEE"/>
    <w:rsid w:val="613E2F72"/>
    <w:rsid w:val="61461DEA"/>
    <w:rsid w:val="61555579"/>
    <w:rsid w:val="616D3B04"/>
    <w:rsid w:val="61BE4076"/>
    <w:rsid w:val="61CB6793"/>
    <w:rsid w:val="62487960"/>
    <w:rsid w:val="62A645B4"/>
    <w:rsid w:val="62C95CD3"/>
    <w:rsid w:val="62D52620"/>
    <w:rsid w:val="62FD61EC"/>
    <w:rsid w:val="63345501"/>
    <w:rsid w:val="63587ECC"/>
    <w:rsid w:val="638328B4"/>
    <w:rsid w:val="639B53BD"/>
    <w:rsid w:val="639D3DC5"/>
    <w:rsid w:val="63B03E93"/>
    <w:rsid w:val="63B7453B"/>
    <w:rsid w:val="63FE69AC"/>
    <w:rsid w:val="645B3DFE"/>
    <w:rsid w:val="6480629B"/>
    <w:rsid w:val="64A37553"/>
    <w:rsid w:val="64A5151D"/>
    <w:rsid w:val="64B11C70"/>
    <w:rsid w:val="64E6488F"/>
    <w:rsid w:val="651641C9"/>
    <w:rsid w:val="652C6F14"/>
    <w:rsid w:val="653B778C"/>
    <w:rsid w:val="65622F6B"/>
    <w:rsid w:val="65876E75"/>
    <w:rsid w:val="658B51D6"/>
    <w:rsid w:val="65905D2A"/>
    <w:rsid w:val="65B337C6"/>
    <w:rsid w:val="65B512EC"/>
    <w:rsid w:val="65D4291D"/>
    <w:rsid w:val="66027A70"/>
    <w:rsid w:val="66104CAF"/>
    <w:rsid w:val="662364D3"/>
    <w:rsid w:val="662C40CF"/>
    <w:rsid w:val="663743F7"/>
    <w:rsid w:val="66410DD2"/>
    <w:rsid w:val="664B7EA3"/>
    <w:rsid w:val="66A575B3"/>
    <w:rsid w:val="66B97DF8"/>
    <w:rsid w:val="66C64D11"/>
    <w:rsid w:val="66CD781D"/>
    <w:rsid w:val="66F75237"/>
    <w:rsid w:val="672B716A"/>
    <w:rsid w:val="67461310"/>
    <w:rsid w:val="675247E7"/>
    <w:rsid w:val="676F196F"/>
    <w:rsid w:val="67801DCE"/>
    <w:rsid w:val="67A451AF"/>
    <w:rsid w:val="67ED7463"/>
    <w:rsid w:val="67F836DF"/>
    <w:rsid w:val="68190258"/>
    <w:rsid w:val="68442DFB"/>
    <w:rsid w:val="688B0A2A"/>
    <w:rsid w:val="689C2C37"/>
    <w:rsid w:val="68AB4BCD"/>
    <w:rsid w:val="68E71A42"/>
    <w:rsid w:val="690A20AE"/>
    <w:rsid w:val="690D7691"/>
    <w:rsid w:val="692147EF"/>
    <w:rsid w:val="69831EAE"/>
    <w:rsid w:val="699F7683"/>
    <w:rsid w:val="69A04061"/>
    <w:rsid w:val="69A71894"/>
    <w:rsid w:val="69C32D29"/>
    <w:rsid w:val="69F8256E"/>
    <w:rsid w:val="6A072332"/>
    <w:rsid w:val="6A1D1B56"/>
    <w:rsid w:val="6A28439A"/>
    <w:rsid w:val="6A3550F2"/>
    <w:rsid w:val="6A5A2040"/>
    <w:rsid w:val="6A617C95"/>
    <w:rsid w:val="6A6262EB"/>
    <w:rsid w:val="6A6B507B"/>
    <w:rsid w:val="6A815C41"/>
    <w:rsid w:val="6AB70F8E"/>
    <w:rsid w:val="6AFA069C"/>
    <w:rsid w:val="6B5E3633"/>
    <w:rsid w:val="6B5E6668"/>
    <w:rsid w:val="6B874C1C"/>
    <w:rsid w:val="6B9B71D6"/>
    <w:rsid w:val="6BA51E03"/>
    <w:rsid w:val="6BBF270D"/>
    <w:rsid w:val="6BE26BB3"/>
    <w:rsid w:val="6C1D7BEB"/>
    <w:rsid w:val="6C3B0EA0"/>
    <w:rsid w:val="6C7B17C1"/>
    <w:rsid w:val="6C9C4BF5"/>
    <w:rsid w:val="6CB67EDB"/>
    <w:rsid w:val="6CC22541"/>
    <w:rsid w:val="6CF546C4"/>
    <w:rsid w:val="6D1B65C8"/>
    <w:rsid w:val="6D9263B7"/>
    <w:rsid w:val="6DBF428D"/>
    <w:rsid w:val="6DD8026E"/>
    <w:rsid w:val="6DE309C1"/>
    <w:rsid w:val="6DEF7C4D"/>
    <w:rsid w:val="6E096679"/>
    <w:rsid w:val="6E303578"/>
    <w:rsid w:val="6E313E22"/>
    <w:rsid w:val="6E31797E"/>
    <w:rsid w:val="6E47509C"/>
    <w:rsid w:val="6E48325D"/>
    <w:rsid w:val="6E702C13"/>
    <w:rsid w:val="6E8300C9"/>
    <w:rsid w:val="6ECA3395"/>
    <w:rsid w:val="6EEA4C83"/>
    <w:rsid w:val="6F2140E1"/>
    <w:rsid w:val="6F282B2F"/>
    <w:rsid w:val="6F314141"/>
    <w:rsid w:val="6F5F1E31"/>
    <w:rsid w:val="6FEF7AF1"/>
    <w:rsid w:val="6FF3273E"/>
    <w:rsid w:val="70507DE3"/>
    <w:rsid w:val="70545BA6"/>
    <w:rsid w:val="708C3591"/>
    <w:rsid w:val="70A82764"/>
    <w:rsid w:val="70B36D70"/>
    <w:rsid w:val="70B4274D"/>
    <w:rsid w:val="710E1BD6"/>
    <w:rsid w:val="7112382E"/>
    <w:rsid w:val="71310518"/>
    <w:rsid w:val="713D7E5F"/>
    <w:rsid w:val="7150126C"/>
    <w:rsid w:val="715A1D43"/>
    <w:rsid w:val="715C11B6"/>
    <w:rsid w:val="71844C93"/>
    <w:rsid w:val="71CA611F"/>
    <w:rsid w:val="721675B7"/>
    <w:rsid w:val="723C2D63"/>
    <w:rsid w:val="725214E6"/>
    <w:rsid w:val="72624021"/>
    <w:rsid w:val="72910409"/>
    <w:rsid w:val="72CE4AA1"/>
    <w:rsid w:val="72E524FC"/>
    <w:rsid w:val="73052DEE"/>
    <w:rsid w:val="730C7A35"/>
    <w:rsid w:val="732E6B82"/>
    <w:rsid w:val="733046A8"/>
    <w:rsid w:val="736A2868"/>
    <w:rsid w:val="73830312"/>
    <w:rsid w:val="73966E20"/>
    <w:rsid w:val="739D3C20"/>
    <w:rsid w:val="73A237ED"/>
    <w:rsid w:val="73C15888"/>
    <w:rsid w:val="73F84A86"/>
    <w:rsid w:val="74093700"/>
    <w:rsid w:val="74181D24"/>
    <w:rsid w:val="741A7670"/>
    <w:rsid w:val="74282827"/>
    <w:rsid w:val="7445309F"/>
    <w:rsid w:val="7452064E"/>
    <w:rsid w:val="74826705"/>
    <w:rsid w:val="748C427F"/>
    <w:rsid w:val="74A23383"/>
    <w:rsid w:val="74CF3CA3"/>
    <w:rsid w:val="75027C27"/>
    <w:rsid w:val="75061B64"/>
    <w:rsid w:val="750951B1"/>
    <w:rsid w:val="75252BD3"/>
    <w:rsid w:val="753A180E"/>
    <w:rsid w:val="753F35D6"/>
    <w:rsid w:val="756A6076"/>
    <w:rsid w:val="75704D81"/>
    <w:rsid w:val="75DA3102"/>
    <w:rsid w:val="76085468"/>
    <w:rsid w:val="762A44F2"/>
    <w:rsid w:val="765B3A3D"/>
    <w:rsid w:val="76992564"/>
    <w:rsid w:val="76CA0970"/>
    <w:rsid w:val="76EC2FDC"/>
    <w:rsid w:val="772F0407"/>
    <w:rsid w:val="773F4975"/>
    <w:rsid w:val="776456E5"/>
    <w:rsid w:val="776D565D"/>
    <w:rsid w:val="777059BB"/>
    <w:rsid w:val="77CA151E"/>
    <w:rsid w:val="77DA4C5B"/>
    <w:rsid w:val="77E93077"/>
    <w:rsid w:val="77F35CA4"/>
    <w:rsid w:val="782C4AAB"/>
    <w:rsid w:val="78391BB2"/>
    <w:rsid w:val="785B5D23"/>
    <w:rsid w:val="786B0789"/>
    <w:rsid w:val="78A93322"/>
    <w:rsid w:val="78E26444"/>
    <w:rsid w:val="78E741DD"/>
    <w:rsid w:val="78FF6FF6"/>
    <w:rsid w:val="794E76AE"/>
    <w:rsid w:val="796B643A"/>
    <w:rsid w:val="797D616D"/>
    <w:rsid w:val="799148E3"/>
    <w:rsid w:val="799D236B"/>
    <w:rsid w:val="79A427C1"/>
    <w:rsid w:val="79B80F53"/>
    <w:rsid w:val="79D40370"/>
    <w:rsid w:val="7A0714B4"/>
    <w:rsid w:val="7A106FE1"/>
    <w:rsid w:val="7A242ECB"/>
    <w:rsid w:val="7A48720C"/>
    <w:rsid w:val="7A590988"/>
    <w:rsid w:val="7A6753E9"/>
    <w:rsid w:val="7A6E7837"/>
    <w:rsid w:val="7A767DC6"/>
    <w:rsid w:val="7A7818F3"/>
    <w:rsid w:val="7AB90813"/>
    <w:rsid w:val="7AC12E30"/>
    <w:rsid w:val="7AF32563"/>
    <w:rsid w:val="7AFE3D60"/>
    <w:rsid w:val="7AFE6E3A"/>
    <w:rsid w:val="7B072192"/>
    <w:rsid w:val="7B0E1773"/>
    <w:rsid w:val="7B7517F2"/>
    <w:rsid w:val="7BA915B8"/>
    <w:rsid w:val="7BB820BE"/>
    <w:rsid w:val="7BFC5A6F"/>
    <w:rsid w:val="7C2819E5"/>
    <w:rsid w:val="7C747A33"/>
    <w:rsid w:val="7C786C43"/>
    <w:rsid w:val="7CBD0A81"/>
    <w:rsid w:val="7CE63ACC"/>
    <w:rsid w:val="7CEE13CB"/>
    <w:rsid w:val="7D1521FF"/>
    <w:rsid w:val="7D2A018E"/>
    <w:rsid w:val="7D9038AD"/>
    <w:rsid w:val="7DBA7990"/>
    <w:rsid w:val="7DE844FD"/>
    <w:rsid w:val="7DEF69EA"/>
    <w:rsid w:val="7DEF79A1"/>
    <w:rsid w:val="7DF3466E"/>
    <w:rsid w:val="7E0D3FD2"/>
    <w:rsid w:val="7E235BFD"/>
    <w:rsid w:val="7E3F79AA"/>
    <w:rsid w:val="7E6349B9"/>
    <w:rsid w:val="7E635932"/>
    <w:rsid w:val="7E777137"/>
    <w:rsid w:val="7E871E39"/>
    <w:rsid w:val="7EAA41A5"/>
    <w:rsid w:val="7EB66AF7"/>
    <w:rsid w:val="7ED034E6"/>
    <w:rsid w:val="7EE822DB"/>
    <w:rsid w:val="7EF85683"/>
    <w:rsid w:val="7F037115"/>
    <w:rsid w:val="7F1F1D45"/>
    <w:rsid w:val="7F645E05"/>
    <w:rsid w:val="7F745426"/>
    <w:rsid w:val="7F7B4EFD"/>
    <w:rsid w:val="7F85004F"/>
    <w:rsid w:val="7F8A3392"/>
    <w:rsid w:val="7FCB7C32"/>
    <w:rsid w:val="7FE20F98"/>
    <w:rsid w:val="7FEA09D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szCs w:val="20"/>
    </w:rPr>
  </w:style>
  <w:style w:type="character" w:default="1" w:styleId="11">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3">
    <w:name w:val="annotation text"/>
    <w:basedOn w:val="1"/>
    <w:qFormat/>
    <w:uiPriority w:val="0"/>
    <w:pPr>
      <w:spacing w:before="156" w:line="360" w:lineRule="auto"/>
      <w:ind w:firstLine="200" w:firstLineChars="200"/>
      <w:jc w:val="left"/>
    </w:pPr>
  </w:style>
  <w:style w:type="paragraph" w:styleId="4">
    <w:name w:val="Body Text"/>
    <w:basedOn w:val="1"/>
    <w:qFormat/>
    <w:uiPriority w:val="0"/>
    <w:pPr>
      <w:jc w:val="center"/>
    </w:pPr>
    <w:rPr>
      <w:rFonts w:eastAsia="楷体_GB2312"/>
      <w:sz w:val="52"/>
    </w:rPr>
  </w:style>
  <w:style w:type="paragraph" w:styleId="5">
    <w:name w:val="Plain Text"/>
    <w:basedOn w:val="1"/>
    <w:link w:val="17"/>
    <w:qFormat/>
    <w:uiPriority w:val="0"/>
    <w:rPr>
      <w:rFonts w:ascii="宋体" w:hAnsi="Courier New" w:eastAsia="宋体"/>
      <w:kern w:val="2"/>
      <w:sz w:val="21"/>
      <w:lang w:val="en-US" w:eastAsia="zh-CN"/>
    </w:rPr>
  </w:style>
  <w:style w:type="paragraph" w:styleId="6">
    <w:name w:val="footer"/>
    <w:basedOn w:val="1"/>
    <w:link w:val="18"/>
    <w:qFormat/>
    <w:uiPriority w:val="99"/>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rPr>
  </w:style>
  <w:style w:type="character" w:styleId="13">
    <w:name w:val="page number"/>
    <w:basedOn w:val="11"/>
    <w:qFormat/>
    <w:uiPriority w:val="0"/>
  </w:style>
  <w:style w:type="paragraph" w:customStyle="1" w:styleId="14">
    <w:name w:val="List Paragraph1"/>
    <w:basedOn w:val="1"/>
    <w:qFormat/>
    <w:uiPriority w:val="99"/>
    <w:pPr>
      <w:ind w:firstLine="420" w:firstLineChars="200"/>
    </w:pPr>
  </w:style>
  <w:style w:type="paragraph" w:customStyle="1" w:styleId="15">
    <w:name w:val="Default"/>
    <w:qFormat/>
    <w:uiPriority w:val="0"/>
    <w:pPr>
      <w:widowControl w:val="0"/>
      <w:autoSpaceDE w:val="0"/>
      <w:autoSpaceDN w:val="0"/>
      <w:adjustRightInd w:val="0"/>
    </w:pPr>
    <w:rPr>
      <w:rFonts w:ascii="HiddenHorzOCl" w:hAnsi="Times New Roman" w:eastAsia="HiddenHorzOCl" w:cs="HiddenHorzOCl"/>
      <w:color w:val="000000"/>
      <w:sz w:val="24"/>
      <w:szCs w:val="24"/>
      <w:lang w:val="en-US" w:eastAsia="zh-CN" w:bidi="ar-SA"/>
    </w:rPr>
  </w:style>
  <w:style w:type="character" w:customStyle="1" w:styleId="16">
    <w:name w:val="font31"/>
    <w:qFormat/>
    <w:uiPriority w:val="0"/>
    <w:rPr>
      <w:rFonts w:hint="eastAsia" w:ascii="宋体" w:hAnsi="宋体" w:eastAsia="宋体" w:cs="宋体"/>
      <w:color w:val="000000"/>
      <w:sz w:val="24"/>
      <w:szCs w:val="24"/>
      <w:u w:val="none"/>
    </w:rPr>
  </w:style>
  <w:style w:type="character" w:customStyle="1" w:styleId="17">
    <w:name w:val="纯文本 Char Char Char"/>
    <w:basedOn w:val="11"/>
    <w:link w:val="5"/>
    <w:qFormat/>
    <w:uiPriority w:val="0"/>
    <w:rPr>
      <w:rFonts w:ascii="宋体" w:hAnsi="Courier New" w:eastAsia="宋体"/>
      <w:kern w:val="2"/>
      <w:sz w:val="21"/>
      <w:lang w:val="en-US" w:eastAsia="zh-CN"/>
    </w:rPr>
  </w:style>
  <w:style w:type="character" w:customStyle="1" w:styleId="18">
    <w:name w:val="页脚 Char"/>
    <w:link w:val="6"/>
    <w:qFormat/>
    <w:uiPriority w:val="99"/>
    <w:rPr>
      <w:rFonts w:ascii="Calibri" w:hAnsi="Calibri" w:cs="黑体"/>
      <w:kern w:val="2"/>
      <w:sz w:val="18"/>
      <w:szCs w:val="22"/>
    </w:rPr>
  </w:style>
  <w:style w:type="character" w:customStyle="1" w:styleId="19">
    <w:name w:val="font01"/>
    <w:qFormat/>
    <w:uiPriority w:val="0"/>
    <w:rPr>
      <w:rFonts w:hint="eastAsia" w:ascii="宋体" w:hAnsi="宋体" w:eastAsia="宋体" w:cs="宋体"/>
      <w:color w:val="000000"/>
      <w:sz w:val="24"/>
      <w:szCs w:val="24"/>
      <w:u w:val="none"/>
    </w:rPr>
  </w:style>
  <w:style w:type="paragraph" w:customStyle="1" w:styleId="20">
    <w:name w:val="Normal_2"/>
    <w:qFormat/>
    <w:uiPriority w:val="0"/>
    <w:rPr>
      <w:rFonts w:ascii="Times New Roman" w:hAnsi="Times New Roman" w:eastAsia="Times New Roman" w:cs="Times New Roman"/>
      <w:sz w:val="24"/>
      <w:szCs w:val="24"/>
      <w:lang w:val="en-US" w:eastAsia="zh-CN" w:bidi="ar-SA"/>
    </w:rPr>
  </w:style>
  <w:style w:type="paragraph" w:customStyle="1" w:styleId="21">
    <w:name w:val="Normal_1"/>
    <w:qFormat/>
    <w:uiPriority w:val="0"/>
    <w:pPr>
      <w:adjustRightInd w:val="0"/>
      <w:snapToGrid w:val="0"/>
    </w:pPr>
    <w:rPr>
      <w:rFonts w:ascii="Tahoma" w:hAnsi="Tahoma" w:eastAsia="微软雅黑" w:cs="Times New Roman"/>
      <w:lang w:val="en-US" w:eastAsia="zh-CN" w:bidi="ar-SA"/>
    </w:rPr>
  </w:style>
  <w:style w:type="paragraph" w:styleId="22">
    <w:name w:val="List Paragraph"/>
    <w:basedOn w:val="1"/>
    <w:qFormat/>
    <w:uiPriority w:val="34"/>
    <w:pPr>
      <w:ind w:firstLine="420" w:firstLineChars="200"/>
    </w:pPr>
  </w:style>
  <w:style w:type="paragraph" w:customStyle="1" w:styleId="23">
    <w:name w:val="首行缩进"/>
    <w:basedOn w:val="1"/>
    <w:qFormat/>
    <w:uiPriority w:val="0"/>
    <w:pPr>
      <w:numPr>
        <w:ilvl w:val="0"/>
        <w:numId w:val="1"/>
      </w:numPr>
      <w:spacing w:line="360" w:lineRule="auto"/>
    </w:pPr>
    <w:rPr>
      <w:rFonts w:eastAsia="仿宋_GB231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5</Pages>
  <Words>1968</Words>
  <Characters>1988</Characters>
  <Lines>24</Lines>
  <Paragraphs>6</Paragraphs>
  <TotalTime>16</TotalTime>
  <ScaleCrop>false</ScaleCrop>
  <LinksUpToDate>false</LinksUpToDate>
  <CharactersWithSpaces>2216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2017-04-01T06:50:00Z</dcterms:created>
  <dc:creator>liuyurong</dc:creator>
  <cp:lastModifiedBy>Fortune</cp:lastModifiedBy>
  <cp:lastPrinted>2024-09-29T07:31:00Z</cp:lastPrinted>
  <dcterms:modified xsi:type="dcterms:W3CDTF">2026-06-11T02:11:21Z</dcterms:modified>
  <dc:title>辽宁杰威工程造价咨询有限责任公司   					 辽杰威咨询(审)字[2016]316号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D18BA1F11A8C4AE1901BC1E5C119557F_13</vt:lpwstr>
  </property>
  <property fmtid="{D5CDD505-2E9C-101B-9397-08002B2CF9AE}" pid="4" name="KSOTemplateDocerSaveRecord">
    <vt:lpwstr>eyJoZGlkIjoiZWNmYzk4ZGFhMjM4ODlmN2FkYzU4YmZkZjk1NGI3NjIiLCJ1c2VySWQiOiI5NDU4NjczMjEifQ==</vt:lpwstr>
  </property>
</Properties>
</file>